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451D7" w:rsidRDefault="007827B9" w:rsidP="00E4149F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F555A">
        <w:rPr>
          <w:rFonts w:ascii="黑体" w:eastAsia="黑体" w:hAnsi="黑体" w:hint="eastAsia"/>
          <w:sz w:val="32"/>
          <w:szCs w:val="32"/>
        </w:rPr>
        <w:t>2</w:t>
      </w:r>
    </w:p>
    <w:p w:rsidR="003451D7" w:rsidRDefault="003451D7" w:rsidP="00E4149F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451D7" w:rsidRDefault="007827B9" w:rsidP="00E4149F">
      <w:pPr>
        <w:spacing w:line="640" w:lineRule="exact"/>
        <w:ind w:firstLineChars="200" w:firstLine="832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</w:t>
      </w:r>
      <w:r w:rsidR="00CF555A">
        <w:rPr>
          <w:rFonts w:ascii="方正小标宋简体" w:eastAsia="方正小标宋简体" w:hint="eastAsia"/>
          <w:spacing w:val="-12"/>
          <w:sz w:val="44"/>
          <w:szCs w:val="44"/>
        </w:rPr>
        <w:t>不合格</w:t>
      </w:r>
      <w:r>
        <w:rPr>
          <w:rFonts w:ascii="方正小标宋简体" w:eastAsia="方正小标宋简体" w:hint="eastAsia"/>
          <w:spacing w:val="-12"/>
          <w:sz w:val="44"/>
          <w:szCs w:val="44"/>
        </w:rPr>
        <w:t>项目的</w:t>
      </w:r>
      <w:r w:rsidR="00CF555A">
        <w:rPr>
          <w:rFonts w:ascii="方正小标宋简体" w:eastAsia="方正小标宋简体" w:hint="eastAsia"/>
          <w:spacing w:val="-12"/>
          <w:sz w:val="44"/>
          <w:szCs w:val="44"/>
        </w:rPr>
        <w:t>小知识</w:t>
      </w:r>
    </w:p>
    <w:p w:rsidR="00CF555A" w:rsidRDefault="00CF555A" w:rsidP="00E4149F">
      <w:pPr>
        <w:spacing w:line="640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</w:p>
    <w:p w:rsidR="00E84DDD" w:rsidRDefault="00E84DDD" w:rsidP="00E4149F">
      <w:pPr>
        <w:spacing w:line="64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一、二氧化硫残留量</w:t>
      </w:r>
    </w:p>
    <w:p w:rsidR="00E84DDD" w:rsidRDefault="00E84DDD" w:rsidP="00E4149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氧化硫是国内外允许使用的一种食品添加剂，通常情况下该物质以焦亚硫酸钾、焦亚硫酸钠、亚硫酸钠、亚硫酸氢钠、低亚硫酸钠等亚硫酸盐的形式添加于食品中，或采用硫磺熏蒸的方式用于食品处理，发挥漂白、防腐和抗氧化的作用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GB 2760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—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）中规定，腌渍的蔬菜中二氧化硫残留量不应超过</w:t>
      </w:r>
      <w:r>
        <w:rPr>
          <w:rFonts w:ascii="Times New Roman" w:eastAsia="仿宋_GB2312" w:hAnsi="Times New Roman"/>
          <w:sz w:val="32"/>
          <w:szCs w:val="32"/>
        </w:rPr>
        <w:t>0.1g/kg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坚果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与籽类食品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生产加工中不得使用亚硫酸盐、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二氧化硫等物质</w:t>
      </w:r>
      <w:r>
        <w:rPr>
          <w:rFonts w:ascii="Times New Roman" w:eastAsia="仿宋_GB2312" w:hAnsi="Times New Roman" w:hint="eastAsia"/>
          <w:sz w:val="32"/>
          <w:szCs w:val="32"/>
        </w:rPr>
        <w:t>。二氧化硫进入人体后最终转化为硫酸盐并随尿液排出体外，少量摄入不会对身体带来健康危害，但若过量食用可能引起如恶心、呕吐等胃肠道反应。</w:t>
      </w:r>
    </w:p>
    <w:p w:rsidR="00E84DDD" w:rsidRDefault="00E84DDD" w:rsidP="00E4149F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二、沙门氏菌</w:t>
      </w:r>
    </w:p>
    <w:p w:rsidR="00E84DDD" w:rsidRPr="00E4149F" w:rsidRDefault="00E84DDD" w:rsidP="00E4149F">
      <w:pPr>
        <w:pStyle w:val="a8"/>
        <w:spacing w:line="6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E4149F">
        <w:rPr>
          <w:rFonts w:ascii="仿宋_GB2312" w:eastAsia="仿宋_GB2312" w:hAnsi="Times New Roman" w:cs="Times New Roman" w:hint="eastAsia"/>
          <w:sz w:val="32"/>
          <w:szCs w:val="32"/>
        </w:rPr>
        <w:t>沙门氏菌是一种常见的食源性致病菌。</w:t>
      </w:r>
      <w:r w:rsidR="00EC58CD">
        <w:rPr>
          <w:rFonts w:ascii="仿宋_GB2312" w:eastAsia="仿宋_GB2312" w:hAnsi="Times New Roman" w:cs="Times New Roman" w:hint="eastAsia"/>
          <w:sz w:val="32"/>
          <w:szCs w:val="32"/>
        </w:rPr>
        <w:t>食用被</w:t>
      </w:r>
      <w:r w:rsidRPr="00E4149F">
        <w:rPr>
          <w:rFonts w:ascii="仿宋_GB2312" w:eastAsia="仿宋_GB2312" w:hAnsi="Times New Roman" w:cs="Times New Roman" w:hint="eastAsia"/>
          <w:sz w:val="32"/>
          <w:szCs w:val="32"/>
        </w:rPr>
        <w:t>沙门氏菌</w:t>
      </w:r>
      <w:r w:rsidR="00EC58CD">
        <w:rPr>
          <w:rFonts w:ascii="仿宋_GB2312" w:eastAsia="仿宋_GB2312" w:hAnsi="Times New Roman" w:cs="Times New Roman" w:hint="eastAsia"/>
          <w:sz w:val="32"/>
          <w:szCs w:val="32"/>
        </w:rPr>
        <w:t>污染的</w:t>
      </w:r>
      <w:r w:rsidRPr="00E4149F">
        <w:rPr>
          <w:rFonts w:ascii="仿宋_GB2312" w:eastAsia="仿宋_GB2312" w:hAnsi="Times New Roman" w:cs="Times New Roman" w:hint="eastAsia"/>
          <w:sz w:val="32"/>
          <w:szCs w:val="32"/>
        </w:rPr>
        <w:t>食物</w:t>
      </w:r>
      <w:r w:rsidR="00EC58CD">
        <w:rPr>
          <w:rFonts w:ascii="仿宋_GB2312" w:eastAsia="仿宋_GB2312" w:hAnsi="Times New Roman" w:cs="Times New Roman" w:hint="eastAsia"/>
          <w:sz w:val="32"/>
          <w:szCs w:val="32"/>
        </w:rPr>
        <w:t>，可能会</w:t>
      </w:r>
      <w:r w:rsidRPr="00E4149F">
        <w:rPr>
          <w:rFonts w:ascii="仿宋_GB2312" w:eastAsia="仿宋_GB2312" w:hAnsi="Times New Roman" w:cs="Times New Roman" w:hint="eastAsia"/>
          <w:sz w:val="32"/>
          <w:szCs w:val="32"/>
        </w:rPr>
        <w:t>引起恶心、呕吐、腹痛、头痛、畏寒和腹泻等</w:t>
      </w:r>
      <w:r w:rsidR="00EC58CD">
        <w:rPr>
          <w:rFonts w:ascii="仿宋_GB2312" w:eastAsia="仿宋_GB2312" w:hAnsi="Times New Roman" w:cs="Times New Roman" w:hint="eastAsia"/>
          <w:sz w:val="32"/>
          <w:szCs w:val="32"/>
        </w:rPr>
        <w:t>食物中毒症状</w:t>
      </w:r>
      <w:r w:rsidRPr="00E4149F">
        <w:rPr>
          <w:rFonts w:ascii="仿宋_GB2312" w:eastAsia="仿宋_GB2312" w:hAnsi="Times New Roman" w:cs="Times New Roman" w:hint="eastAsia"/>
          <w:sz w:val="32"/>
          <w:szCs w:val="32"/>
        </w:rPr>
        <w:t>，还伴有乏力、肌肉酸痛、视觉模糊、中等程度发热、躁动不安和嗜睡。国家标准《食品安全国家标准</w:t>
      </w:r>
      <w:r w:rsidR="00E4149F" w:rsidRPr="00E4149F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E4149F">
        <w:rPr>
          <w:rFonts w:ascii="仿宋_GB2312" w:eastAsia="仿宋_GB2312" w:hAnsi="Times New Roman" w:cs="Times New Roman" w:hint="eastAsia"/>
          <w:sz w:val="32"/>
          <w:szCs w:val="32"/>
        </w:rPr>
        <w:t>食品中致病菌限量》</w:t>
      </w:r>
      <w:r w:rsidRPr="00E4149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E4149F">
        <w:rPr>
          <w:rFonts w:ascii="Times New Roman" w:eastAsia="仿宋_GB2312" w:hAnsi="Times New Roman" w:cs="Times New Roman"/>
          <w:sz w:val="32"/>
          <w:szCs w:val="32"/>
        </w:rPr>
        <w:t>GB 29921</w:t>
      </w:r>
      <w:r w:rsidRPr="00E4149F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E4149F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E4149F">
        <w:rPr>
          <w:rFonts w:ascii="Times New Roman" w:eastAsia="仿宋_GB2312" w:hAnsi="Times New Roman" w:cs="Times New Roman"/>
          <w:sz w:val="32"/>
          <w:szCs w:val="32"/>
        </w:rPr>
        <w:t>）中规定</w:t>
      </w:r>
      <w:r w:rsidR="00EC5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E4149F">
        <w:rPr>
          <w:rFonts w:ascii="Times New Roman" w:eastAsia="仿宋_GB2312" w:hAnsi="Times New Roman" w:cs="Times New Roman"/>
          <w:sz w:val="32"/>
          <w:szCs w:val="32"/>
        </w:rPr>
        <w:t>熟制粮食制品（含焙烤类）中的沙门氏菌为</w:t>
      </w:r>
      <w:r w:rsidRPr="00E4149F">
        <w:rPr>
          <w:rFonts w:ascii="Times New Roman" w:eastAsia="仿宋_GB2312" w:hAnsi="Times New Roman" w:cs="Times New Roman"/>
          <w:sz w:val="32"/>
          <w:szCs w:val="32"/>
        </w:rPr>
        <w:t>5</w:t>
      </w:r>
      <w:r w:rsidRPr="00E4149F">
        <w:rPr>
          <w:rFonts w:ascii="Times New Roman" w:eastAsia="仿宋_GB2312" w:hAnsi="Times New Roman" w:cs="Times New Roman"/>
          <w:sz w:val="32"/>
          <w:szCs w:val="32"/>
        </w:rPr>
        <w:t>次检测结果均不得检出。沙门氏菌不合格原因可能有生产加工人员带菌造成污染，或者原料污染、生产过程卫生</w:t>
      </w:r>
      <w:r w:rsidRPr="00E4149F">
        <w:rPr>
          <w:rFonts w:ascii="仿宋_GB2312" w:eastAsia="仿宋_GB2312" w:hAnsi="Times New Roman" w:cs="Times New Roman"/>
          <w:sz w:val="32"/>
          <w:szCs w:val="32"/>
        </w:rPr>
        <w:t>条件控制不当、杀菌不彻底、储运不当，或者生产过程中产品的交叉污染。</w:t>
      </w:r>
    </w:p>
    <w:p w:rsidR="00E84DDD" w:rsidRPr="005D7D45" w:rsidRDefault="00E84DDD" w:rsidP="00E4149F">
      <w:pPr>
        <w:spacing w:line="640" w:lineRule="exact"/>
        <w:ind w:firstLineChars="200" w:firstLine="5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糖精钠</w:t>
      </w:r>
    </w:p>
    <w:p w:rsidR="00E84DDD" w:rsidRPr="00E84DDD" w:rsidRDefault="00E84DDD" w:rsidP="00E4149F">
      <w:pPr>
        <w:pStyle w:val="a8"/>
        <w:spacing w:line="64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8C3881">
        <w:rPr>
          <w:rFonts w:ascii="仿宋_GB2312" w:eastAsia="仿宋_GB2312" w:hAnsi="Times New Roman" w:cs="Times New Roman" w:hint="eastAsia"/>
          <w:sz w:val="32"/>
          <w:szCs w:val="32"/>
        </w:rPr>
        <w:t>糖精钠</w:t>
      </w:r>
      <w:r w:rsidR="00EC58CD">
        <w:rPr>
          <w:rFonts w:ascii="仿宋_GB2312" w:eastAsia="仿宋_GB2312" w:hAnsi="Times New Roman" w:cs="Times New Roman" w:hint="eastAsia"/>
          <w:sz w:val="32"/>
          <w:szCs w:val="32"/>
        </w:rPr>
        <w:t>是一种常见食品添加剂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/>
          <w:sz w:val="32"/>
          <w:szCs w:val="32"/>
        </w:rPr>
        <w:t>《</w:t>
      </w:r>
      <w:r w:rsidRPr="008C3881">
        <w:rPr>
          <w:rFonts w:ascii="仿宋_GB2312" w:eastAsia="仿宋_GB2312" w:hAnsi="Times New Roman" w:cs="Times New Roman"/>
          <w:sz w:val="32"/>
          <w:szCs w:val="32"/>
        </w:rPr>
        <w:t>食品安全国家标准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8C3881">
        <w:rPr>
          <w:rFonts w:ascii="仿宋_GB2312" w:eastAsia="仿宋_GB2312" w:hAnsi="Times New Roman" w:cs="Times New Roman"/>
          <w:sz w:val="32"/>
          <w:szCs w:val="32"/>
        </w:rPr>
        <w:t>食品添加剂使用标准</w:t>
      </w:r>
      <w:r>
        <w:rPr>
          <w:rFonts w:ascii="仿宋_GB2312" w:eastAsia="仿宋_GB2312" w:hAnsi="Times New Roman" w:cs="Times New Roman"/>
          <w:sz w:val="32"/>
          <w:szCs w:val="32"/>
        </w:rPr>
        <w:t>》</w:t>
      </w:r>
      <w:r w:rsidRPr="00B83EB2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83EB2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83EB2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B83EB2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B83EB2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8C3881">
        <w:rPr>
          <w:rFonts w:ascii="仿宋_GB2312" w:eastAsia="仿宋_GB2312" w:hAnsi="Times New Roman" w:cs="Times New Roman"/>
          <w:sz w:val="32"/>
          <w:szCs w:val="32"/>
        </w:rPr>
        <w:t>中规定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糖精钠</w:t>
      </w:r>
      <w:r>
        <w:rPr>
          <w:rFonts w:ascii="仿宋_GB2312" w:eastAsia="仿宋_GB2312" w:hAnsi="Times New Roman" w:cs="Times New Roman"/>
          <w:sz w:val="32"/>
          <w:szCs w:val="32"/>
        </w:rPr>
        <w:t>（</w:t>
      </w:r>
      <w:r w:rsidRPr="008C3881">
        <w:rPr>
          <w:rFonts w:ascii="仿宋_GB2312" w:eastAsia="仿宋_GB2312" w:hAnsi="Times New Roman" w:cs="Times New Roman"/>
          <w:sz w:val="32"/>
          <w:szCs w:val="32"/>
        </w:rPr>
        <w:t>以</w:t>
      </w:r>
      <w:r>
        <w:rPr>
          <w:rFonts w:ascii="仿宋_GB2312" w:eastAsia="仿宋_GB2312" w:hAnsi="Times New Roman" w:cs="Times New Roman" w:hint="eastAsia"/>
          <w:sz w:val="32"/>
          <w:szCs w:val="32"/>
        </w:rPr>
        <w:t>糖精</w:t>
      </w:r>
      <w:r w:rsidRPr="008C3881">
        <w:rPr>
          <w:rFonts w:ascii="仿宋_GB2312" w:eastAsia="仿宋_GB2312" w:hAnsi="Times New Roman" w:cs="Times New Roman"/>
          <w:sz w:val="32"/>
          <w:szCs w:val="32"/>
        </w:rPr>
        <w:t>计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  <w:r w:rsidRPr="008C3881">
        <w:rPr>
          <w:rFonts w:ascii="仿宋_GB2312" w:eastAsia="仿宋_GB2312" w:hAnsi="Times New Roman" w:cs="Times New Roman"/>
          <w:sz w:val="32"/>
          <w:szCs w:val="32"/>
        </w:rPr>
        <w:t>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膨化食品</w:t>
      </w:r>
      <w:r w:rsidRPr="008C3881">
        <w:rPr>
          <w:rFonts w:ascii="仿宋_GB2312" w:eastAsia="仿宋_GB2312" w:hAnsi="Times New Roman" w:cs="Times New Roman"/>
          <w:sz w:val="32"/>
          <w:szCs w:val="32"/>
        </w:rPr>
        <w:t>中不得使用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不合格</w:t>
      </w:r>
      <w:r w:rsidRPr="008C3881">
        <w:rPr>
          <w:rFonts w:ascii="仿宋_GB2312" w:eastAsia="仿宋_GB2312" w:hAnsi="Times New Roman" w:cs="Times New Roman" w:hint="eastAsia"/>
          <w:sz w:val="32"/>
          <w:szCs w:val="32"/>
        </w:rPr>
        <w:t>原因可能是企业为增加产品甜味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8C3881">
        <w:rPr>
          <w:rFonts w:ascii="仿宋_GB2312" w:eastAsia="仿宋_GB2312" w:hAnsi="Times New Roman" w:cs="Times New Roman" w:hint="eastAsia"/>
          <w:sz w:val="32"/>
          <w:szCs w:val="32"/>
        </w:rPr>
        <w:t>超范围使用甜味剂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C1CEF" w:rsidRDefault="00E84DDD" w:rsidP="00E4149F">
      <w:pPr>
        <w:spacing w:line="64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hint="eastAsia"/>
          <w:spacing w:val="-12"/>
          <w:sz w:val="32"/>
          <w:szCs w:val="32"/>
        </w:rPr>
        <w:t>四</w:t>
      </w:r>
      <w:r w:rsidR="003C1CEF">
        <w:rPr>
          <w:rFonts w:ascii="Times New Roman" w:eastAsia="黑体" w:hAnsi="Times New Roman" w:hint="eastAsia"/>
          <w:spacing w:val="-12"/>
          <w:sz w:val="32"/>
          <w:szCs w:val="32"/>
        </w:rPr>
        <w:t>、菌落总数</w:t>
      </w:r>
    </w:p>
    <w:p w:rsidR="00392AD0" w:rsidRDefault="00392AD0" w:rsidP="00392AD0">
      <w:pPr>
        <w:widowControl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92AD0">
        <w:rPr>
          <w:rFonts w:ascii="Times New Roman" w:eastAsia="仿宋_GB2312" w:hAnsi="Times New Roman" w:hint="eastAsia"/>
          <w:sz w:val="32"/>
          <w:szCs w:val="32"/>
        </w:rPr>
        <w:t>菌落总数是指示性微生物指标，并非致病菌指标，主要用来评价食品清洁度，反映食品在生产过程中是否符合卫生要求。《食品安全国家标准</w:t>
      </w:r>
      <w:r w:rsidRPr="00392A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92AD0">
        <w:rPr>
          <w:rFonts w:ascii="Times New Roman" w:eastAsia="仿宋_GB2312" w:hAnsi="Times New Roman" w:hint="eastAsia"/>
          <w:sz w:val="32"/>
          <w:szCs w:val="32"/>
        </w:rPr>
        <w:t>熟肉制品》（</w:t>
      </w:r>
      <w:r w:rsidRPr="00392AD0">
        <w:rPr>
          <w:rFonts w:ascii="Times New Roman" w:eastAsia="仿宋_GB2312" w:hAnsi="Times New Roman" w:hint="eastAsia"/>
          <w:sz w:val="32"/>
          <w:szCs w:val="32"/>
        </w:rPr>
        <w:t>GB2726</w:t>
      </w:r>
      <w:r w:rsidRPr="00392AD0">
        <w:rPr>
          <w:rFonts w:ascii="Times New Roman" w:eastAsia="仿宋_GB2312" w:hAnsi="Times New Roman" w:hint="eastAsia"/>
          <w:sz w:val="32"/>
          <w:szCs w:val="32"/>
        </w:rPr>
        <w:t>—</w:t>
      </w:r>
      <w:r w:rsidRPr="00392AD0">
        <w:rPr>
          <w:rFonts w:ascii="Times New Roman" w:eastAsia="仿宋_GB2312" w:hAnsi="Times New Roman" w:hint="eastAsia"/>
          <w:sz w:val="32"/>
          <w:szCs w:val="32"/>
        </w:rPr>
        <w:t>2016</w:t>
      </w:r>
      <w:r w:rsidRPr="00392AD0">
        <w:rPr>
          <w:rFonts w:ascii="Times New Roman" w:eastAsia="仿宋_GB2312" w:hAnsi="Times New Roman" w:hint="eastAsia"/>
          <w:sz w:val="32"/>
          <w:szCs w:val="32"/>
        </w:rPr>
        <w:t>）中规定，熟肉制品（除发酵肉制品外）一个样品的</w:t>
      </w:r>
      <w:r w:rsidRPr="00392AD0">
        <w:rPr>
          <w:rFonts w:ascii="Times New Roman" w:eastAsia="仿宋_GB2312" w:hAnsi="Times New Roman" w:hint="eastAsia"/>
          <w:sz w:val="32"/>
          <w:szCs w:val="32"/>
        </w:rPr>
        <w:t>5</w:t>
      </w:r>
      <w:r w:rsidRPr="00392AD0">
        <w:rPr>
          <w:rFonts w:ascii="Times New Roman" w:eastAsia="仿宋_GB2312" w:hAnsi="Times New Roman" w:hint="eastAsia"/>
          <w:sz w:val="32"/>
          <w:szCs w:val="32"/>
        </w:rPr>
        <w:t>次检测结果均不得超过</w:t>
      </w:r>
      <w:r w:rsidRPr="00392AD0">
        <w:rPr>
          <w:rFonts w:ascii="Times New Roman" w:eastAsia="仿宋_GB2312" w:hAnsi="Times New Roman" w:hint="eastAsia"/>
          <w:sz w:val="32"/>
          <w:szCs w:val="32"/>
        </w:rPr>
        <w:t>10</w:t>
      </w:r>
      <w:r w:rsidRPr="00392AD0">
        <w:rPr>
          <w:rFonts w:ascii="Times New Roman" w:eastAsia="仿宋_GB2312" w:hAnsi="Times New Roman" w:hint="eastAsia"/>
          <w:sz w:val="32"/>
          <w:szCs w:val="32"/>
          <w:vertAlign w:val="superscript"/>
        </w:rPr>
        <w:t>5</w:t>
      </w:r>
      <w:r w:rsidRPr="00392AD0">
        <w:rPr>
          <w:rFonts w:ascii="Times New Roman" w:eastAsia="仿宋_GB2312" w:hAnsi="Times New Roman" w:hint="eastAsia"/>
          <w:sz w:val="32"/>
          <w:szCs w:val="32"/>
        </w:rPr>
        <w:t>CFU/g</w:t>
      </w:r>
      <w:r w:rsidRPr="00392AD0">
        <w:rPr>
          <w:rFonts w:ascii="Times New Roman" w:eastAsia="仿宋_GB2312" w:hAnsi="Times New Roman" w:hint="eastAsia"/>
          <w:sz w:val="32"/>
          <w:szCs w:val="32"/>
        </w:rPr>
        <w:t>且至少</w:t>
      </w:r>
      <w:r w:rsidRPr="00392AD0">
        <w:rPr>
          <w:rFonts w:ascii="Times New Roman" w:eastAsia="仿宋_GB2312" w:hAnsi="Times New Roman" w:hint="eastAsia"/>
          <w:sz w:val="32"/>
          <w:szCs w:val="32"/>
        </w:rPr>
        <w:t>3</w:t>
      </w:r>
      <w:r w:rsidRPr="00392AD0">
        <w:rPr>
          <w:rFonts w:ascii="Times New Roman" w:eastAsia="仿宋_GB2312" w:hAnsi="Times New Roman" w:hint="eastAsia"/>
          <w:sz w:val="32"/>
          <w:szCs w:val="32"/>
        </w:rPr>
        <w:t>次检测结果不超过</w:t>
      </w:r>
      <w:r w:rsidRPr="00392AD0">
        <w:rPr>
          <w:rFonts w:ascii="Times New Roman" w:eastAsia="仿宋_GB2312" w:hAnsi="Times New Roman" w:hint="eastAsia"/>
          <w:sz w:val="32"/>
          <w:szCs w:val="32"/>
        </w:rPr>
        <w:t>10</w:t>
      </w:r>
      <w:r w:rsidRPr="00392AD0">
        <w:rPr>
          <w:rFonts w:ascii="Times New Roman" w:eastAsia="仿宋_GB2312" w:hAnsi="Times New Roman" w:hint="eastAsia"/>
          <w:sz w:val="32"/>
          <w:szCs w:val="32"/>
          <w:vertAlign w:val="superscript"/>
        </w:rPr>
        <w:t>4</w:t>
      </w:r>
      <w:r w:rsidRPr="00392AD0">
        <w:rPr>
          <w:rFonts w:ascii="Times New Roman" w:eastAsia="仿宋_GB2312" w:hAnsi="Times New Roman" w:hint="eastAsia"/>
          <w:sz w:val="32"/>
          <w:szCs w:val="32"/>
        </w:rPr>
        <w:t>CFU/g</w:t>
      </w:r>
      <w:r w:rsidRPr="00392AD0">
        <w:rPr>
          <w:rFonts w:ascii="Times New Roman" w:eastAsia="仿宋_GB2312" w:hAnsi="Times New Roman" w:hint="eastAsia"/>
          <w:sz w:val="32"/>
          <w:szCs w:val="32"/>
        </w:rPr>
        <w:t>。菌落总数超标可能是个别企业所使用的原辅料</w:t>
      </w:r>
      <w:proofErr w:type="gramStart"/>
      <w:r w:rsidRPr="00392AD0">
        <w:rPr>
          <w:rFonts w:ascii="Times New Roman" w:eastAsia="仿宋_GB2312" w:hAnsi="Times New Roman" w:hint="eastAsia"/>
          <w:sz w:val="32"/>
          <w:szCs w:val="32"/>
        </w:rPr>
        <w:t>初始菌数较高</w:t>
      </w:r>
      <w:proofErr w:type="gramEnd"/>
      <w:r w:rsidRPr="00392AD0">
        <w:rPr>
          <w:rFonts w:ascii="Times New Roman" w:eastAsia="仿宋_GB2312" w:hAnsi="Times New Roman" w:hint="eastAsia"/>
          <w:sz w:val="32"/>
          <w:szCs w:val="32"/>
        </w:rPr>
        <w:t>，又未按要求严格控制生产加工过程的卫生条件，或者包装容器清洗消毒不到位，还有可能与产品包装密封不严、储运条件控制不当等有关。</w:t>
      </w:r>
    </w:p>
    <w:p w:rsidR="00E84DDD" w:rsidRDefault="00E84DDD" w:rsidP="00392AD0">
      <w:pPr>
        <w:widowControl/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五、黄曲霉毒素B</w:t>
      </w:r>
      <w:r>
        <w:rPr>
          <w:rFonts w:ascii="黑体" w:eastAsia="黑体" w:hAnsi="黑体" w:cs="Times New Roman" w:hint="eastAsia"/>
          <w:sz w:val="32"/>
          <w:szCs w:val="32"/>
          <w:vertAlign w:val="subscript"/>
        </w:rPr>
        <w:t>1</w:t>
      </w:r>
    </w:p>
    <w:p w:rsidR="00E84DDD" w:rsidRPr="00E84DDD" w:rsidRDefault="00E84DDD" w:rsidP="00E4149F">
      <w:pPr>
        <w:widowControl/>
        <w:spacing w:line="6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是一种强致癌性的化学物质</w:t>
      </w:r>
      <w:r w:rsidR="00EC58CD"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其毒性作用主要是对肝脏的损害。《食品安全国家标准</w:t>
      </w:r>
      <w:r>
        <w:rPr>
          <w:rFonts w:ascii="仿宋_GB2312" w:eastAsia="仿宋_GB2312" w:hAnsi="Calibri" w:cs="Times New Roman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  <w:szCs w:val="32"/>
        </w:rPr>
        <w:t>GB 2761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仿宋_GB2312" w:eastAsia="仿宋_GB2312" w:hAnsi="Calibri" w:cs="Times New Roman" w:hint="eastAsia"/>
          <w:sz w:val="32"/>
          <w:szCs w:val="32"/>
        </w:rPr>
        <w:t>）中规定，黄曲霉毒素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在花生油、玉米油中的最大限量为</w:t>
      </w:r>
      <w:r w:rsidRPr="00151F1C">
        <w:rPr>
          <w:rFonts w:ascii="Times New Roman" w:eastAsia="仿宋_GB2312" w:hAnsi="Times New Roman" w:cs="Times New Roman"/>
          <w:sz w:val="32"/>
          <w:szCs w:val="32"/>
        </w:rPr>
        <w:t>20μg/kg</w:t>
      </w:r>
      <w:r w:rsidRPr="00151F1C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sz w:val="32"/>
          <w:szCs w:val="32"/>
        </w:rPr>
        <w:t>花生油中黄曲霉毒素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超标可能是因为花生原料在储存过程中温度、湿度等条件控制不当；生产前对原料把关不严；精炼工艺不达标或工艺控制不当等导致。</w:t>
      </w:r>
    </w:p>
    <w:p w:rsidR="003C1CEF" w:rsidRDefault="00E84DDD" w:rsidP="00E4149F">
      <w:pPr>
        <w:spacing w:line="640" w:lineRule="exact"/>
        <w:ind w:firstLineChars="200" w:firstLine="59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六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</w:t>
      </w:r>
      <w:r w:rsidR="003C1CEF">
        <w:rPr>
          <w:rFonts w:ascii="Times New Roman" w:eastAsia="黑体" w:hAnsi="Times New Roman" w:cs="Times New Roman" w:hint="eastAsia"/>
          <w:kern w:val="0"/>
          <w:sz w:val="32"/>
          <w:szCs w:val="32"/>
        </w:rPr>
        <w:t>防腐剂各自用量占其最大使用量比例之</w:t>
      </w:r>
      <w:proofErr w:type="gramStart"/>
      <w:r w:rsidR="003C1CEF">
        <w:rPr>
          <w:rFonts w:ascii="Times New Roman" w:eastAsia="黑体" w:hAnsi="Times New Roman" w:cs="Times New Roman" w:hint="eastAsia"/>
          <w:kern w:val="0"/>
          <w:sz w:val="32"/>
          <w:szCs w:val="32"/>
        </w:rPr>
        <w:t>和</w:t>
      </w:r>
      <w:proofErr w:type="gramEnd"/>
    </w:p>
    <w:p w:rsidR="003C1CEF" w:rsidRDefault="003C1CEF" w:rsidP="00E4149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防腐剂是以保持食品原有品质和营养价值为目的的食品添加剂，它能抑制微生物的生长繁殖，防止食品腐败变质从而延长保质期。《食品安全国家标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准</w:t>
      </w:r>
      <w:r>
        <w:rPr>
          <w:rFonts w:ascii="Times New Roman" w:eastAsia="仿宋_GB2312" w:hAnsi="Times New Roman" w:cs="Times New Roman"/>
          <w:spacing w:val="-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品添加剂使用标准》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GB 2760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—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2014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中规定，我国在食品中允许添加的添加剂的种类、使用量或残留量，并规定防腐剂在混合使用时，各自用量占其最大使用量的比例之和不应超过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C1CEF" w:rsidRDefault="00E84DDD" w:rsidP="00E4149F">
      <w:pPr>
        <w:spacing w:line="64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七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、油酸</w:t>
      </w:r>
      <w:r w:rsidR="003C1CEF">
        <w:rPr>
          <w:rFonts w:ascii="Times New Roman" w:eastAsia="黑体" w:hAnsi="Times New Roman" w:cs="Times New Roman"/>
          <w:spacing w:val="-12"/>
          <w:sz w:val="32"/>
          <w:szCs w:val="32"/>
        </w:rPr>
        <w:t>/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总脂肪酸</w:t>
      </w:r>
    </w:p>
    <w:p w:rsidR="003C1CEF" w:rsidRDefault="003C1CEF" w:rsidP="00E4149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油酸除了供给人体所需的大量热能外，还能调整人体血浆中高、</w:t>
      </w:r>
      <w:r w:rsidRPr="003C1CEF">
        <w:rPr>
          <w:rFonts w:ascii="Times New Roman" w:eastAsia="仿宋_GB2312" w:hAnsi="Times New Roman" w:cs="Times New Roman" w:hint="eastAsia"/>
          <w:sz w:val="32"/>
          <w:szCs w:val="32"/>
        </w:rPr>
        <w:t>低密度脂蛋白胆固醇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的浓度比例。《植物蛋白饮料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核桃露（乳）》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GB/T 31325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中规定，核桃露（乳）中的油酸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总脂肪酸的最大限量为</w:t>
      </w:r>
      <w:r>
        <w:rPr>
          <w:rFonts w:ascii="Times New Roman" w:eastAsia="仿宋_GB2312" w:hAnsi="Times New Roman" w:cs="Times New Roman"/>
          <w:sz w:val="32"/>
          <w:szCs w:val="32"/>
        </w:rPr>
        <w:t>28%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。油酸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总脂肪酸不合格，可能原因是部分企业为降低成本，采用花生、大豆或其他原料，部分替代或者全部替代核桃仁进行加工生产所致。</w:t>
      </w:r>
    </w:p>
    <w:p w:rsidR="003C1CEF" w:rsidRDefault="00E84DDD" w:rsidP="00E4149F">
      <w:pPr>
        <w:spacing w:line="640" w:lineRule="exact"/>
        <w:ind w:firstLineChars="200" w:firstLine="592"/>
        <w:jc w:val="left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八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、亚油酸</w:t>
      </w:r>
      <w:r w:rsidR="003C1CEF">
        <w:rPr>
          <w:rFonts w:ascii="Times New Roman" w:eastAsia="黑体" w:hAnsi="Times New Roman" w:cs="Times New Roman"/>
          <w:spacing w:val="-12"/>
          <w:sz w:val="32"/>
          <w:szCs w:val="32"/>
        </w:rPr>
        <w:t>/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总脂肪酸</w:t>
      </w:r>
    </w:p>
    <w:p w:rsidR="003C1CEF" w:rsidRDefault="003C1CEF" w:rsidP="00E4149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亚油酸能降低血液胆固醇，预防动脉粥样硬化。缺乏亚油酸，胆固醇会与饱和脂肪酸结合，发生代谢障碍，在血管壁上沉积，形成动脉粥样硬化，引发</w:t>
      </w:r>
      <w:r w:rsidRPr="003C1CEF">
        <w:rPr>
          <w:rFonts w:ascii="Times New Roman" w:eastAsia="仿宋_GB2312" w:hAnsi="Times New Roman" w:cs="Times New Roman" w:hint="eastAsia"/>
          <w:sz w:val="32"/>
          <w:szCs w:val="32"/>
        </w:rPr>
        <w:t>心脑血管疾病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。《植物蛋白饮料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核桃露（乳）》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GB/T 31325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中规定，核桃露（乳）中的亚油酸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总脂肪酸应不低于</w:t>
      </w:r>
      <w:r>
        <w:rPr>
          <w:rFonts w:ascii="Times New Roman" w:eastAsia="仿宋_GB2312" w:hAnsi="Times New Roman" w:cs="Times New Roman"/>
          <w:sz w:val="32"/>
          <w:szCs w:val="32"/>
        </w:rPr>
        <w:t>50%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。亚油酸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总脂肪酸不达标，可能原因是部分企业为降低成本，采用花生、大豆或其他原料，部分替代或者全部替代核桃仁进行加工生产所致。</w:t>
      </w:r>
    </w:p>
    <w:p w:rsidR="003C1CEF" w:rsidRDefault="00E84DDD" w:rsidP="00E4149F">
      <w:pPr>
        <w:spacing w:line="640" w:lineRule="exact"/>
        <w:ind w:firstLineChars="200" w:firstLine="592"/>
        <w:jc w:val="left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九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、亚麻酸</w:t>
      </w:r>
      <w:r w:rsidR="003C1CEF">
        <w:rPr>
          <w:rFonts w:ascii="Times New Roman" w:eastAsia="黑体" w:hAnsi="Times New Roman" w:cs="Times New Roman"/>
          <w:spacing w:val="-12"/>
          <w:sz w:val="32"/>
          <w:szCs w:val="32"/>
        </w:rPr>
        <w:t>/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总脂肪酸</w:t>
      </w:r>
    </w:p>
    <w:p w:rsidR="003C1CEF" w:rsidRDefault="003C1CEF" w:rsidP="00E4149F">
      <w:pPr>
        <w:pStyle w:val="a9"/>
        <w:widowControl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亚麻酸是多不饱和脂肪酸，具有增强免疫力和抑制癌症的作用。在人体内经代谢生成</w:t>
      </w:r>
      <w:r>
        <w:rPr>
          <w:rFonts w:ascii="Times New Roman" w:eastAsia="仿宋_GB2312" w:hAnsi="Times New Roman"/>
          <w:kern w:val="2"/>
          <w:sz w:val="32"/>
          <w:szCs w:val="32"/>
        </w:rPr>
        <w:t>EPA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和</w:t>
      </w:r>
      <w:r>
        <w:rPr>
          <w:rFonts w:ascii="Times New Roman" w:eastAsia="仿宋_GB2312" w:hAnsi="Times New Roman"/>
          <w:kern w:val="2"/>
          <w:sz w:val="32"/>
          <w:szCs w:val="32"/>
        </w:rPr>
        <w:t>DHA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，有助于增强智力、改善记忆力、抑制血小板凝聚和血栓形成。</w:t>
      </w:r>
      <w:r>
        <w:rPr>
          <w:rFonts w:ascii="Times New Roman" w:eastAsia="仿宋_GB2312" w:hAnsi="Times New Roman" w:hint="eastAsia"/>
          <w:sz w:val="32"/>
          <w:szCs w:val="32"/>
        </w:rPr>
        <w:t>亚麻酸在核桃、大豆中含量较高，而在杏仁中含量极低。《植物蛋白饮料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杏仁露》（</w:t>
      </w:r>
      <w:r>
        <w:rPr>
          <w:rFonts w:ascii="Times New Roman" w:eastAsia="仿宋_GB2312" w:hAnsi="Times New Roman"/>
          <w:sz w:val="32"/>
          <w:szCs w:val="32"/>
        </w:rPr>
        <w:t>GB/T 31324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）中规定在杏仁露中，亚麻酸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总脂肪酸的最大限量为</w:t>
      </w:r>
      <w:r>
        <w:rPr>
          <w:rFonts w:ascii="Times New Roman" w:eastAsia="仿宋_GB2312" w:hAnsi="Times New Roman"/>
          <w:sz w:val="32"/>
          <w:szCs w:val="32"/>
        </w:rPr>
        <w:t>0.12%</w:t>
      </w:r>
      <w:r>
        <w:rPr>
          <w:rFonts w:ascii="Times New Roman" w:eastAsia="仿宋_GB2312" w:hAnsi="Times New Roman" w:hint="eastAsia"/>
          <w:sz w:val="32"/>
          <w:szCs w:val="32"/>
        </w:rPr>
        <w:t>。《植物蛋白饮料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核桃露（乳）》（</w:t>
      </w:r>
      <w:r>
        <w:rPr>
          <w:rFonts w:ascii="Times New Roman" w:eastAsia="仿宋_GB2312" w:hAnsi="Times New Roman"/>
          <w:sz w:val="32"/>
          <w:szCs w:val="32"/>
        </w:rPr>
        <w:t>GB/T 31325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）中规定，核桃露（乳）中的亚麻酸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总脂肪酸不低于</w:t>
      </w:r>
      <w:r>
        <w:rPr>
          <w:rFonts w:ascii="Times New Roman" w:eastAsia="仿宋_GB2312" w:hAnsi="Times New Roman"/>
          <w:sz w:val="32"/>
          <w:szCs w:val="32"/>
        </w:rPr>
        <w:t>6.5%</w:t>
      </w:r>
      <w:r>
        <w:rPr>
          <w:rFonts w:ascii="Times New Roman" w:eastAsia="仿宋_GB2312" w:hAnsi="Times New Roman" w:hint="eastAsia"/>
          <w:sz w:val="32"/>
          <w:szCs w:val="32"/>
        </w:rPr>
        <w:t>。亚麻酸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总脂肪酸不达标，可能原因是部分企业为降低成本，采用价格较低的原料，部分替代或者全部替代核桃仁、杏仁进行加工生产所致。</w:t>
      </w:r>
    </w:p>
    <w:p w:rsidR="003C1CEF" w:rsidRDefault="00E84DDD" w:rsidP="00E4149F">
      <w:pPr>
        <w:spacing w:line="640" w:lineRule="exact"/>
        <w:ind w:firstLineChars="200" w:firstLine="592"/>
        <w:jc w:val="left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十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、（花生酸</w:t>
      </w:r>
      <w:r w:rsidR="003C1CEF">
        <w:rPr>
          <w:rFonts w:ascii="Times New Roman" w:eastAsia="黑体" w:hAnsi="Times New Roman" w:cs="Times New Roman"/>
          <w:spacing w:val="-12"/>
          <w:sz w:val="32"/>
          <w:szCs w:val="32"/>
        </w:rPr>
        <w:t>+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山</w:t>
      </w:r>
      <w:proofErr w:type="gramStart"/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嵛</w:t>
      </w:r>
      <w:proofErr w:type="gramEnd"/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酸）</w:t>
      </w:r>
      <w:r w:rsidR="003C1CEF">
        <w:rPr>
          <w:rFonts w:ascii="Times New Roman" w:eastAsia="黑体" w:hAnsi="Times New Roman" w:cs="Times New Roman"/>
          <w:spacing w:val="-12"/>
          <w:sz w:val="32"/>
          <w:szCs w:val="32"/>
        </w:rPr>
        <w:t>/</w:t>
      </w:r>
      <w:r w:rsidR="003C1CEF">
        <w:rPr>
          <w:rFonts w:ascii="Times New Roman" w:eastAsia="黑体" w:hAnsi="Times New Roman" w:cs="Times New Roman" w:hint="eastAsia"/>
          <w:spacing w:val="-12"/>
          <w:sz w:val="32"/>
          <w:szCs w:val="32"/>
        </w:rPr>
        <w:t>总脂肪酸</w:t>
      </w:r>
    </w:p>
    <w:p w:rsidR="003C1CEF" w:rsidRDefault="003C1CEF" w:rsidP="00E4149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花生酸、山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酸在核桃、杏仁中含量极微，在大豆中含量较少，而在花生中含量较高。《植物蛋白饮料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核桃露（乳）》（</w:t>
      </w:r>
      <w:r>
        <w:rPr>
          <w:rFonts w:ascii="Times New Roman" w:eastAsia="仿宋_GB2312" w:hAnsi="Times New Roman" w:cs="Times New Roman"/>
          <w:sz w:val="32"/>
          <w:szCs w:val="32"/>
        </w:rPr>
        <w:t>GB/T 31325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）中规定，核桃露（乳）中的（花生酸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酸）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</w:t>
      </w:r>
      <w:r w:rsidR="002F144C">
        <w:rPr>
          <w:rFonts w:ascii="Times New Roman" w:eastAsia="仿宋_GB2312" w:hAnsi="Times New Roman" w:cs="Times New Roman" w:hint="eastAsia"/>
          <w:sz w:val="32"/>
          <w:szCs w:val="32"/>
        </w:rPr>
        <w:t>的最大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限量为</w:t>
      </w:r>
      <w:r>
        <w:rPr>
          <w:rFonts w:ascii="Times New Roman" w:eastAsia="仿宋_GB2312" w:hAnsi="Times New Roman" w:cs="Times New Roman"/>
          <w:sz w:val="32"/>
          <w:szCs w:val="32"/>
        </w:rPr>
        <w:t>0.2%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。（花生酸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酸）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总脂肪酸不达标，可能原因是部分企业为降低成本，采用花生、大豆或其他原料，部分替代或者全部替代核桃仁进行加工生产所致。</w:t>
      </w:r>
    </w:p>
    <w:p w:rsidR="00E84DDD" w:rsidRDefault="00E84DDD" w:rsidP="00E4149F">
      <w:pPr>
        <w:spacing w:line="64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十一、棕榈烯酸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/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总脂肪酸</w:t>
      </w:r>
    </w:p>
    <w:p w:rsidR="00E84DDD" w:rsidRPr="00E84DDD" w:rsidRDefault="00E84DDD" w:rsidP="00E4149F">
      <w:pPr>
        <w:pStyle w:val="a8"/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棕榈烯酸在杏仁中含量较高，而在花生、大豆中含量极低，是杏仁中一项重要的特征性成分。《植物蛋白饮料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杏仁露》（</w:t>
      </w:r>
      <w:r>
        <w:rPr>
          <w:rFonts w:ascii="Times New Roman" w:eastAsia="仿宋_GB2312" w:hAnsi="Times New Roman"/>
          <w:sz w:val="32"/>
          <w:szCs w:val="32"/>
        </w:rPr>
        <w:t>GB/T 31324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）中规定，杏仁露中的</w:t>
      </w:r>
      <w:r w:rsidR="00151F1C" w:rsidRPr="00151F1C">
        <w:rPr>
          <w:rFonts w:ascii="Times New Roman" w:eastAsia="仿宋_GB2312" w:hAnsi="Times New Roman" w:hint="eastAsia"/>
          <w:sz w:val="32"/>
          <w:szCs w:val="32"/>
        </w:rPr>
        <w:t>棕</w:t>
      </w:r>
      <w:r>
        <w:rPr>
          <w:rFonts w:ascii="Times New Roman" w:eastAsia="仿宋_GB2312" w:hAnsi="Times New Roman" w:hint="eastAsia"/>
          <w:sz w:val="32"/>
          <w:szCs w:val="32"/>
        </w:rPr>
        <w:t>榈烯酸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总脂肪酸不低于</w:t>
      </w:r>
      <w:r>
        <w:rPr>
          <w:rFonts w:ascii="Times New Roman" w:eastAsia="仿宋_GB2312" w:hAnsi="Times New Roman"/>
          <w:sz w:val="32"/>
          <w:szCs w:val="32"/>
        </w:rPr>
        <w:t>0.50%</w:t>
      </w:r>
      <w:r>
        <w:rPr>
          <w:rFonts w:ascii="Times New Roman" w:eastAsia="仿宋_GB2312" w:hAnsi="Times New Roman" w:hint="eastAsia"/>
          <w:sz w:val="32"/>
          <w:szCs w:val="32"/>
        </w:rPr>
        <w:t>。棕榈烯酸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总脂肪酸不达标，可能原因是部分企业为降低成本，采用花生、大豆或其他原料，部分替代或者全部替代杏仁进行加工生产所致。</w:t>
      </w:r>
    </w:p>
    <w:p w:rsidR="003C1CEF" w:rsidRDefault="003C1CEF" w:rsidP="00E4149F">
      <w:pPr>
        <w:spacing w:line="64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十</w:t>
      </w:r>
      <w:r w:rsidR="00E84DDD"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二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、花生酸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/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总脂肪酸</w:t>
      </w:r>
    </w:p>
    <w:p w:rsidR="003C1CEF" w:rsidRDefault="003C1CEF" w:rsidP="00E4149F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花生酸在核桃、杏仁中含量极微，而在花生中含量较高，在大豆中有少量存在。《植物蛋白饮料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杏仁露》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GB/T 31324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中规定，杏仁露中的花生酸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总脂肪酸的最大限量为</w:t>
      </w:r>
      <w:r>
        <w:rPr>
          <w:rFonts w:ascii="Times New Roman" w:eastAsia="仿宋_GB2312" w:hAnsi="Times New Roman" w:cs="Times New Roman"/>
          <w:sz w:val="32"/>
          <w:szCs w:val="32"/>
        </w:rPr>
        <w:t>0.12%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。花生酸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总脂肪酸不达标，可能原因是部分企业为降低成本，采用花生、大豆或其他原料，部分替代或者全部替代杏仁进行加工生产所致。</w:t>
      </w:r>
    </w:p>
    <w:p w:rsidR="00E4149F" w:rsidRDefault="003C1CEF" w:rsidP="00E4149F">
      <w:pPr>
        <w:spacing w:line="64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十</w:t>
      </w:r>
      <w:r w:rsidR="00E84DDD">
        <w:rPr>
          <w:rFonts w:ascii="Times New Roman" w:eastAsia="黑体" w:hAnsi="Times New Roman" w:cs="Times New Roman" w:hint="eastAsia"/>
          <w:spacing w:val="-12"/>
          <w:sz w:val="32"/>
          <w:szCs w:val="32"/>
        </w:rPr>
        <w:t>三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、山</w:t>
      </w:r>
      <w:proofErr w:type="gramStart"/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嵛</w:t>
      </w:r>
      <w:proofErr w:type="gramEnd"/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酸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/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总脂肪</w:t>
      </w:r>
    </w:p>
    <w:p w:rsidR="003C1CEF" w:rsidRPr="00E4149F" w:rsidRDefault="003C1CEF" w:rsidP="00E4149F">
      <w:pPr>
        <w:spacing w:line="640" w:lineRule="exact"/>
        <w:ind w:firstLineChars="200" w:firstLine="640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酸在核桃、杏仁中含量极微，而在花生中含量较高，大豆中也有少量存在。《植物蛋白饮料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杏仁露》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GB/T 31324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中规定，杏仁露中的山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总脂肪酸应小于</w:t>
      </w:r>
      <w:r>
        <w:rPr>
          <w:rFonts w:ascii="Times New Roman" w:eastAsia="仿宋_GB2312" w:hAnsi="Times New Roman" w:cs="Times New Roman"/>
          <w:sz w:val="32"/>
          <w:szCs w:val="32"/>
        </w:rPr>
        <w:t>0.05%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。山嵛酸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总脂肪酸不达标，可能原因是部分企业为降低成本，采用花生、大豆或其他原料，部分替代或者全部替代核杏仁进行加工生产所致。</w:t>
      </w:r>
    </w:p>
    <w:p w:rsidR="00E84DDD" w:rsidRPr="003A71ED" w:rsidRDefault="00E84DDD" w:rsidP="00E4149F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DA0861">
        <w:rPr>
          <w:rFonts w:ascii="黑体" w:eastAsia="黑体" w:hAnsi="黑体" w:hint="eastAsia"/>
          <w:sz w:val="32"/>
          <w:szCs w:val="32"/>
        </w:rPr>
        <w:t>四</w:t>
      </w:r>
      <w:r w:rsidRPr="003A71ED">
        <w:rPr>
          <w:rFonts w:ascii="黑体" w:eastAsia="黑体" w:hAnsi="黑体" w:hint="eastAsia"/>
          <w:sz w:val="32"/>
          <w:szCs w:val="32"/>
        </w:rPr>
        <w:t>、</w:t>
      </w:r>
      <w:proofErr w:type="gramStart"/>
      <w:r w:rsidRPr="003A71ED">
        <w:rPr>
          <w:rFonts w:ascii="黑体" w:eastAsia="黑体" w:hAnsi="黑体" w:hint="eastAsia"/>
          <w:sz w:val="32"/>
          <w:szCs w:val="32"/>
        </w:rPr>
        <w:t>恩诺沙</w:t>
      </w:r>
      <w:proofErr w:type="gramEnd"/>
      <w:r w:rsidRPr="003A71ED">
        <w:rPr>
          <w:rFonts w:ascii="黑体" w:eastAsia="黑体" w:hAnsi="黑体" w:hint="eastAsia"/>
          <w:sz w:val="32"/>
          <w:szCs w:val="32"/>
        </w:rPr>
        <w:t>星（以</w:t>
      </w:r>
      <w:proofErr w:type="gramStart"/>
      <w:r w:rsidRPr="003A71ED">
        <w:rPr>
          <w:rFonts w:ascii="黑体" w:eastAsia="黑体" w:hAnsi="黑体" w:hint="eastAsia"/>
          <w:sz w:val="32"/>
          <w:szCs w:val="32"/>
        </w:rPr>
        <w:t>恩诺沙</w:t>
      </w:r>
      <w:proofErr w:type="gramEnd"/>
      <w:r w:rsidRPr="003A71ED">
        <w:rPr>
          <w:rFonts w:ascii="黑体" w:eastAsia="黑体" w:hAnsi="黑体" w:hint="eastAsia"/>
          <w:sz w:val="32"/>
          <w:szCs w:val="32"/>
        </w:rPr>
        <w:t>星与环丙沙星之和计）</w:t>
      </w:r>
    </w:p>
    <w:p w:rsidR="00E84DDD" w:rsidRPr="00E4149F" w:rsidRDefault="00E84DDD" w:rsidP="00E4149F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2241D2">
        <w:rPr>
          <w:rFonts w:ascii="Times New Roman" w:eastAsia="仿宋_GB2312" w:hAnsi="Times New Roman" w:hint="eastAsia"/>
          <w:sz w:val="32"/>
          <w:szCs w:val="32"/>
        </w:rPr>
        <w:t>恩诺沙星属于氟喹</w:t>
      </w:r>
      <w:proofErr w:type="gramEnd"/>
      <w:r w:rsidRPr="002241D2">
        <w:rPr>
          <w:rFonts w:ascii="Times New Roman" w:eastAsia="仿宋_GB2312" w:hAnsi="Times New Roman" w:hint="eastAsia"/>
          <w:sz w:val="32"/>
          <w:szCs w:val="32"/>
        </w:rPr>
        <w:t>诺酮类药物，是一类人工合成的广谱抗菌药，用于治疗动物的皮肤感染、呼吸道感染等，是动物专属用药。</w:t>
      </w:r>
      <w:r w:rsidRPr="002241D2">
        <w:rPr>
          <w:rFonts w:ascii="Times New Roman" w:eastAsia="仿宋_GB2312" w:hAnsi="Times New Roman" w:hint="eastAsia"/>
          <w:sz w:val="32"/>
          <w:szCs w:val="32"/>
          <w:lang w:bidi="ar"/>
        </w:rPr>
        <w:t>正常情况下消费者不必对鸡蛋中检出</w:t>
      </w:r>
      <w:proofErr w:type="gramStart"/>
      <w:r w:rsidRPr="002241D2">
        <w:rPr>
          <w:rFonts w:ascii="Times New Roman" w:eastAsia="仿宋_GB2312" w:hAnsi="Times New Roman" w:hint="eastAsia"/>
          <w:sz w:val="32"/>
          <w:szCs w:val="32"/>
          <w:lang w:bidi="ar"/>
        </w:rPr>
        <w:t>恩诺沙</w:t>
      </w:r>
      <w:proofErr w:type="gramEnd"/>
      <w:r w:rsidRPr="002241D2">
        <w:rPr>
          <w:rFonts w:ascii="Times New Roman" w:eastAsia="仿宋_GB2312" w:hAnsi="Times New Roman" w:hint="eastAsia"/>
          <w:sz w:val="32"/>
          <w:szCs w:val="32"/>
          <w:lang w:bidi="ar"/>
        </w:rPr>
        <w:t>星过分担心，但长期食用</w:t>
      </w:r>
      <w:proofErr w:type="gramStart"/>
      <w:r w:rsidRPr="002241D2">
        <w:rPr>
          <w:rFonts w:ascii="Times New Roman" w:eastAsia="仿宋_GB2312" w:hAnsi="Times New Roman" w:hint="eastAsia"/>
          <w:sz w:val="32"/>
          <w:szCs w:val="32"/>
          <w:lang w:bidi="ar"/>
        </w:rPr>
        <w:t>恩诺沙</w:t>
      </w:r>
      <w:proofErr w:type="gramEnd"/>
      <w:r w:rsidRPr="002241D2">
        <w:rPr>
          <w:rFonts w:ascii="Times New Roman" w:eastAsia="仿宋_GB2312" w:hAnsi="Times New Roman" w:hint="eastAsia"/>
          <w:sz w:val="32"/>
          <w:szCs w:val="32"/>
          <w:lang w:bidi="ar"/>
        </w:rPr>
        <w:t>星残留超标的蛋品，对人体健康有一定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影响</w:t>
      </w:r>
      <w:r w:rsidRPr="002241D2">
        <w:rPr>
          <w:rFonts w:ascii="Times New Roman" w:eastAsia="仿宋_GB2312" w:hAnsi="Times New Roman" w:hint="eastAsia"/>
          <w:sz w:val="32"/>
          <w:szCs w:val="32"/>
          <w:lang w:bidi="ar"/>
        </w:rPr>
        <w:t>。</w:t>
      </w:r>
      <w:r w:rsidRPr="002241D2">
        <w:rPr>
          <w:rFonts w:ascii="Times New Roman" w:eastAsia="仿宋_GB2312" w:hAnsi="Times New Roman" w:hint="eastAsia"/>
          <w:sz w:val="32"/>
          <w:szCs w:val="32"/>
        </w:rPr>
        <w:t>《动物性食品中兽药最高残留限量》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2241D2">
        <w:rPr>
          <w:rFonts w:ascii="Times New Roman" w:eastAsia="仿宋_GB2312" w:hAnsi="Times New Roman" w:hint="eastAsia"/>
          <w:sz w:val="32"/>
          <w:szCs w:val="32"/>
        </w:rPr>
        <w:t>农业部公告第</w:t>
      </w:r>
      <w:r w:rsidRPr="002241D2">
        <w:rPr>
          <w:rFonts w:ascii="Times New Roman" w:eastAsia="仿宋_GB2312" w:hAnsi="Times New Roman" w:hint="eastAsia"/>
          <w:sz w:val="32"/>
          <w:szCs w:val="32"/>
        </w:rPr>
        <w:t>235</w:t>
      </w:r>
      <w:r w:rsidRPr="002241D2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2241D2">
        <w:rPr>
          <w:rFonts w:ascii="Times New Roman" w:eastAsia="仿宋_GB2312" w:hAnsi="Times New Roman" w:hint="eastAsia"/>
          <w:sz w:val="32"/>
          <w:szCs w:val="32"/>
        </w:rPr>
        <w:t>中规定，</w:t>
      </w:r>
      <w:proofErr w:type="gramStart"/>
      <w:r w:rsidRPr="002241D2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2241D2">
        <w:rPr>
          <w:rFonts w:ascii="Times New Roman" w:eastAsia="仿宋_GB2312" w:hAnsi="Times New Roman" w:hint="eastAsia"/>
          <w:sz w:val="32"/>
          <w:szCs w:val="32"/>
        </w:rPr>
        <w:t>星（最大残留限量以</w:t>
      </w:r>
      <w:proofErr w:type="gramStart"/>
      <w:r w:rsidRPr="002241D2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2241D2">
        <w:rPr>
          <w:rFonts w:ascii="Times New Roman" w:eastAsia="仿宋_GB2312" w:hAnsi="Times New Roman" w:hint="eastAsia"/>
          <w:sz w:val="32"/>
          <w:szCs w:val="32"/>
        </w:rPr>
        <w:t>星和环丙沙星之和计）可用于牛、羊、猪、兔、禽等食用畜禽及其他动物，但在产蛋鸡中禁用（鸡蛋中不得检出）</w:t>
      </w:r>
      <w:r w:rsidRPr="002241D2">
        <w:rPr>
          <w:rFonts w:ascii="Times New Roman" w:eastAsia="仿宋_GB2312" w:hAnsi="Times New Roman" w:hint="eastAsia"/>
          <w:sz w:val="32"/>
          <w:szCs w:val="32"/>
          <w:lang w:bidi="ar"/>
        </w:rPr>
        <w:t>。鸡蛋中检出</w:t>
      </w:r>
      <w:proofErr w:type="gramStart"/>
      <w:r w:rsidRPr="002241D2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2241D2">
        <w:rPr>
          <w:rFonts w:ascii="Times New Roman" w:eastAsia="仿宋_GB2312" w:hAnsi="Times New Roman" w:hint="eastAsia"/>
          <w:sz w:val="32"/>
          <w:szCs w:val="32"/>
        </w:rPr>
        <w:t>星</w:t>
      </w:r>
      <w:r w:rsidRPr="002241D2">
        <w:rPr>
          <w:rFonts w:ascii="Times New Roman" w:eastAsia="仿宋_GB2312" w:hAnsi="Times New Roman" w:hint="eastAsia"/>
          <w:sz w:val="32"/>
          <w:szCs w:val="32"/>
          <w:lang w:bidi="ar"/>
        </w:rPr>
        <w:t>，可能是企业的鸡饲料添加或者家禽疾病治疗中，使用的</w:t>
      </w:r>
      <w:proofErr w:type="gramStart"/>
      <w:r w:rsidRPr="002241D2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2241D2">
        <w:rPr>
          <w:rFonts w:ascii="Times New Roman" w:eastAsia="仿宋_GB2312" w:hAnsi="Times New Roman" w:hint="eastAsia"/>
          <w:sz w:val="32"/>
          <w:szCs w:val="32"/>
        </w:rPr>
        <w:t>星</w:t>
      </w:r>
      <w:r w:rsidRPr="002241D2">
        <w:rPr>
          <w:rFonts w:ascii="Times New Roman" w:eastAsia="仿宋_GB2312" w:hAnsi="Times New Roman" w:hint="eastAsia"/>
          <w:sz w:val="32"/>
          <w:szCs w:val="32"/>
          <w:lang w:bidi="ar"/>
        </w:rPr>
        <w:t>残留积累在家禽体内，进而传递至蛋品中。</w:t>
      </w:r>
    </w:p>
    <w:p w:rsidR="003C1CEF" w:rsidRPr="00E4149F" w:rsidRDefault="003C1CEF" w:rsidP="00E4149F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4149F">
        <w:rPr>
          <w:rFonts w:ascii="Times New Roman" w:eastAsia="黑体" w:hAnsi="Times New Roman" w:cs="Times New Roman"/>
          <w:sz w:val="32"/>
          <w:szCs w:val="32"/>
        </w:rPr>
        <w:t>十</w:t>
      </w:r>
      <w:r w:rsidR="00DA0861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E4149F">
        <w:rPr>
          <w:rFonts w:ascii="Times New Roman" w:eastAsia="黑体" w:hAnsi="Times New Roman" w:cs="Times New Roman"/>
          <w:sz w:val="32"/>
          <w:szCs w:val="32"/>
        </w:rPr>
        <w:t>、丙溴磷</w:t>
      </w:r>
    </w:p>
    <w:p w:rsidR="00E4149F" w:rsidRDefault="003C1CEF" w:rsidP="00E4149F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4149F">
        <w:rPr>
          <w:rFonts w:ascii="Times New Roman" w:eastAsia="仿宋_GB2312" w:hAnsi="Times New Roman" w:cs="Times New Roman"/>
          <w:sz w:val="32"/>
          <w:szCs w:val="32"/>
        </w:rPr>
        <w:t>丙溴磷是一种具有触杀</w:t>
      </w:r>
      <w:r w:rsidRPr="00640F21">
        <w:rPr>
          <w:rFonts w:ascii="Times New Roman" w:eastAsia="仿宋_GB2312" w:hAnsi="Times New Roman" w:hint="eastAsia"/>
          <w:sz w:val="32"/>
          <w:szCs w:val="32"/>
        </w:rPr>
        <w:t>和胃毒作用，无内吸作用，专用于杀灭刺吸式口器害虫的超高效有机磷杀虫剂。《食品安全国家标准</w:t>
      </w:r>
      <w:r w:rsidRPr="00640F2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40F21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640F21">
        <w:rPr>
          <w:rFonts w:ascii="Times New Roman" w:eastAsia="仿宋_GB2312" w:hAnsi="Times New Roman" w:hint="eastAsia"/>
          <w:sz w:val="32"/>
          <w:szCs w:val="32"/>
        </w:rPr>
        <w:t>GB 2763</w:t>
      </w:r>
      <w:r w:rsidRPr="00640F21">
        <w:rPr>
          <w:rFonts w:ascii="Times New Roman" w:eastAsia="仿宋_GB2312" w:hAnsi="Times New Roman" w:hint="eastAsia"/>
          <w:sz w:val="32"/>
          <w:szCs w:val="32"/>
        </w:rPr>
        <w:t>—</w:t>
      </w:r>
      <w:r w:rsidRPr="00640F21">
        <w:rPr>
          <w:rFonts w:ascii="Times New Roman" w:eastAsia="仿宋_GB2312" w:hAnsi="Times New Roman" w:hint="eastAsia"/>
          <w:sz w:val="32"/>
          <w:szCs w:val="32"/>
        </w:rPr>
        <w:t>2016</w:t>
      </w:r>
      <w:r w:rsidRPr="00640F21">
        <w:rPr>
          <w:rFonts w:ascii="Times New Roman" w:eastAsia="仿宋_GB2312" w:hAnsi="Times New Roman" w:hint="eastAsia"/>
          <w:sz w:val="32"/>
          <w:szCs w:val="32"/>
        </w:rPr>
        <w:t>）中规定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proofErr w:type="gramStart"/>
      <w:r w:rsidRPr="00640F21">
        <w:rPr>
          <w:rFonts w:ascii="Times New Roman" w:eastAsia="仿宋_GB2312" w:hAnsi="Times New Roman" w:hint="eastAsia"/>
          <w:sz w:val="32"/>
          <w:szCs w:val="32"/>
        </w:rPr>
        <w:t>柑橘中丙溴磷</w:t>
      </w:r>
      <w:proofErr w:type="gramEnd"/>
      <w:r w:rsidRPr="00640F21">
        <w:rPr>
          <w:rFonts w:ascii="Times New Roman" w:eastAsia="仿宋_GB2312" w:hAnsi="Times New Roman" w:hint="eastAsia"/>
          <w:sz w:val="32"/>
          <w:szCs w:val="32"/>
        </w:rPr>
        <w:t>残留限量值不得超过</w:t>
      </w:r>
      <w:r w:rsidRPr="00640F21">
        <w:rPr>
          <w:rFonts w:ascii="Times New Roman" w:eastAsia="仿宋_GB2312" w:hAnsi="Times New Roman" w:hint="eastAsia"/>
          <w:sz w:val="32"/>
          <w:szCs w:val="32"/>
        </w:rPr>
        <w:t>0.2mg/kg</w:t>
      </w:r>
      <w:r w:rsidRPr="00640F21">
        <w:rPr>
          <w:rFonts w:ascii="Times New Roman" w:eastAsia="仿宋_GB2312" w:hAnsi="Times New Roman" w:hint="eastAsia"/>
          <w:sz w:val="32"/>
          <w:szCs w:val="32"/>
        </w:rPr>
        <w:t>。少量的农药残留不会引起人类急性中毒，但长期食用农药残留超标的水果，对人体健康有一定</w:t>
      </w:r>
      <w:r>
        <w:rPr>
          <w:rFonts w:ascii="Times New Roman" w:eastAsia="仿宋_GB2312" w:hAnsi="Times New Roman" w:hint="eastAsia"/>
          <w:sz w:val="32"/>
          <w:szCs w:val="32"/>
        </w:rPr>
        <w:t>影响</w:t>
      </w:r>
      <w:r w:rsidRPr="00640F2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C1CEF" w:rsidRPr="00E4149F" w:rsidRDefault="003C1CEF" w:rsidP="00E4149F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DA0861">
        <w:rPr>
          <w:rFonts w:ascii="黑体" w:eastAsia="黑体" w:hAnsi="黑体" w:hint="eastAsia"/>
          <w:sz w:val="32"/>
          <w:szCs w:val="32"/>
        </w:rPr>
        <w:t>六</w:t>
      </w:r>
      <w:r w:rsidRPr="003A71ED">
        <w:rPr>
          <w:rFonts w:ascii="黑体" w:eastAsia="黑体" w:hAnsi="黑体" w:hint="eastAsia"/>
          <w:sz w:val="32"/>
          <w:szCs w:val="32"/>
        </w:rPr>
        <w:t>、挥发性盐基氮</w:t>
      </w:r>
    </w:p>
    <w:p w:rsidR="003C1CEF" w:rsidRPr="003C1CEF" w:rsidRDefault="003C1CEF" w:rsidP="00E4149F">
      <w:pPr>
        <w:pStyle w:val="a8"/>
        <w:spacing w:line="640" w:lineRule="exact"/>
        <w:ind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1002AF">
        <w:rPr>
          <w:rFonts w:ascii="Times New Roman" w:eastAsia="仿宋_GB2312" w:hAnsi="Times New Roman" w:hint="eastAsia"/>
          <w:sz w:val="32"/>
          <w:szCs w:val="32"/>
        </w:rPr>
        <w:t>挥发性盐基氮是动物性食品由于酶和细菌的作用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1002AF">
        <w:rPr>
          <w:rFonts w:ascii="Times New Roman" w:eastAsia="仿宋_GB2312" w:hAnsi="Times New Roman" w:hint="eastAsia"/>
          <w:sz w:val="32"/>
          <w:szCs w:val="32"/>
        </w:rPr>
        <w:t>在腐败过程中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1002AF">
        <w:rPr>
          <w:rFonts w:ascii="Times New Roman" w:eastAsia="仿宋_GB2312" w:hAnsi="Times New Roman" w:hint="eastAsia"/>
          <w:sz w:val="32"/>
          <w:szCs w:val="32"/>
        </w:rPr>
        <w:t>使蛋白质分解</w:t>
      </w:r>
      <w:r w:rsidRPr="003C1CEF">
        <w:rPr>
          <w:rFonts w:ascii="Times New Roman" w:eastAsia="仿宋_GB2312" w:hAnsi="Times New Roman" w:cs="Times New Roman"/>
          <w:sz w:val="32"/>
          <w:szCs w:val="32"/>
        </w:rPr>
        <w:t>而产生氨以及胺类等碱性含氮物质。《食品安全国家标准</w:t>
      </w:r>
      <w:r w:rsidRPr="003C1C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C1CEF">
        <w:rPr>
          <w:rFonts w:ascii="Times New Roman" w:eastAsia="仿宋_GB2312" w:hAnsi="Times New Roman" w:cs="Times New Roman"/>
          <w:sz w:val="32"/>
          <w:szCs w:val="32"/>
        </w:rPr>
        <w:t>鲜、冻动物性水产品》（</w:t>
      </w:r>
      <w:r w:rsidRPr="003C1CEF">
        <w:rPr>
          <w:rFonts w:ascii="Times New Roman" w:eastAsia="仿宋_GB2312" w:hAnsi="Times New Roman" w:cs="Times New Roman"/>
          <w:sz w:val="32"/>
          <w:szCs w:val="32"/>
        </w:rPr>
        <w:t>GB 2733</w:t>
      </w:r>
      <w:r w:rsidRPr="003C1CEF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3C1CE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3C1CEF">
        <w:rPr>
          <w:rFonts w:ascii="Times New Roman" w:eastAsia="仿宋_GB2312" w:hAnsi="Times New Roman" w:cs="Times New Roman"/>
          <w:sz w:val="32"/>
          <w:szCs w:val="32"/>
        </w:rPr>
        <w:t>）中规定，挥发性盐基氮在海水鱼虾中的最大限量值为</w:t>
      </w:r>
      <w:r w:rsidRPr="003C1CEF">
        <w:rPr>
          <w:rFonts w:ascii="Times New Roman" w:eastAsia="仿宋_GB2312" w:hAnsi="Times New Roman" w:cs="Times New Roman"/>
          <w:sz w:val="32"/>
          <w:szCs w:val="32"/>
        </w:rPr>
        <w:t>30mg/100g</w:t>
      </w:r>
      <w:r w:rsidRPr="003C1CEF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002AF">
        <w:rPr>
          <w:rFonts w:ascii="Times New Roman" w:eastAsia="仿宋_GB2312" w:hAnsi="Times New Roman" w:hint="eastAsia"/>
          <w:sz w:val="32"/>
          <w:szCs w:val="32"/>
        </w:rPr>
        <w:t>挥发性</w:t>
      </w:r>
      <w:proofErr w:type="gramStart"/>
      <w:r w:rsidRPr="001002AF">
        <w:rPr>
          <w:rFonts w:ascii="Times New Roman" w:eastAsia="仿宋_GB2312" w:hAnsi="Times New Roman" w:hint="eastAsia"/>
          <w:sz w:val="32"/>
          <w:szCs w:val="32"/>
        </w:rPr>
        <w:t>盐基氮</w:t>
      </w:r>
      <w:r w:rsidRPr="00F1079A">
        <w:rPr>
          <w:rFonts w:ascii="Times New Roman" w:eastAsia="仿宋_GB2312" w:hAnsi="Times New Roman" w:hint="eastAsia"/>
          <w:sz w:val="32"/>
          <w:szCs w:val="32"/>
        </w:rPr>
        <w:t>与</w:t>
      </w:r>
      <w:r w:rsidRPr="001002AF">
        <w:rPr>
          <w:rFonts w:ascii="Times New Roman" w:eastAsia="仿宋_GB2312" w:hAnsi="Times New Roman" w:hint="eastAsia"/>
          <w:sz w:val="32"/>
          <w:szCs w:val="32"/>
        </w:rPr>
        <w:t>动物</w:t>
      </w:r>
      <w:proofErr w:type="gramEnd"/>
      <w:r w:rsidRPr="001002AF">
        <w:rPr>
          <w:rFonts w:ascii="Times New Roman" w:eastAsia="仿宋_GB2312" w:hAnsi="Times New Roman" w:hint="eastAsia"/>
          <w:sz w:val="32"/>
          <w:szCs w:val="32"/>
        </w:rPr>
        <w:t>性食品</w:t>
      </w:r>
      <w:r w:rsidRPr="00F1079A">
        <w:rPr>
          <w:rFonts w:ascii="Times New Roman" w:eastAsia="仿宋_GB2312" w:hAnsi="Times New Roman" w:hint="eastAsia"/>
          <w:sz w:val="32"/>
          <w:szCs w:val="32"/>
        </w:rPr>
        <w:t>腐败变质有关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是</w:t>
      </w:r>
      <w:r w:rsidRPr="001002AF">
        <w:rPr>
          <w:rFonts w:ascii="Times New Roman" w:eastAsia="仿宋_GB2312" w:hAnsi="Times New Roman" w:hint="eastAsia"/>
          <w:sz w:val="32"/>
          <w:szCs w:val="32"/>
        </w:rPr>
        <w:t>食品</w:t>
      </w:r>
      <w:r>
        <w:rPr>
          <w:rFonts w:ascii="仿宋_GB2312" w:eastAsia="仿宋_GB2312" w:hint="eastAsia"/>
          <w:sz w:val="32"/>
          <w:szCs w:val="32"/>
        </w:rPr>
        <w:t>鲜度的主要指标，其</w:t>
      </w:r>
      <w:r w:rsidRPr="001002AF">
        <w:rPr>
          <w:rFonts w:ascii="仿宋_GB2312" w:eastAsia="仿宋_GB2312" w:hint="eastAsia"/>
          <w:sz w:val="32"/>
          <w:szCs w:val="32"/>
        </w:rPr>
        <w:t>含量越高，表明氨基酸被破坏的越多，</w:t>
      </w:r>
      <w:r>
        <w:rPr>
          <w:rFonts w:ascii="仿宋_GB2312" w:eastAsia="仿宋_GB2312" w:hint="eastAsia"/>
          <w:sz w:val="32"/>
          <w:szCs w:val="32"/>
        </w:rPr>
        <w:t>使食品</w:t>
      </w:r>
      <w:r w:rsidRPr="001002AF">
        <w:rPr>
          <w:rFonts w:ascii="仿宋_GB2312" w:eastAsia="仿宋_GB2312" w:hint="eastAsia"/>
          <w:sz w:val="32"/>
          <w:szCs w:val="32"/>
        </w:rPr>
        <w:t>营养价值</w:t>
      </w:r>
      <w:r>
        <w:rPr>
          <w:rFonts w:ascii="仿宋_GB2312" w:eastAsia="仿宋_GB2312" w:hint="eastAsia"/>
          <w:sz w:val="32"/>
          <w:szCs w:val="32"/>
        </w:rPr>
        <w:t>受到</w:t>
      </w:r>
      <w:r w:rsidRPr="001002AF">
        <w:rPr>
          <w:rFonts w:ascii="仿宋_GB2312" w:eastAsia="仿宋_GB2312" w:hint="eastAsia"/>
          <w:sz w:val="32"/>
          <w:szCs w:val="32"/>
        </w:rPr>
        <w:t>影响。</w:t>
      </w:r>
      <w:r>
        <w:rPr>
          <w:rFonts w:ascii="仿宋_GB2312" w:eastAsia="仿宋_GB2312" w:hint="eastAsia"/>
          <w:sz w:val="32"/>
          <w:szCs w:val="32"/>
        </w:rPr>
        <w:t>挥发性盐基氮超标可能为食品运输时间过长、温度过高、保存不当所致。</w:t>
      </w:r>
    </w:p>
    <w:sectPr w:rsidR="003C1CEF" w:rsidRPr="003C1CEF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65" w:rsidRDefault="00517D65">
      <w:r>
        <w:separator/>
      </w:r>
    </w:p>
  </w:endnote>
  <w:endnote w:type="continuationSeparator" w:id="0">
    <w:p w:rsidR="00517D65" w:rsidRDefault="0051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4112"/>
      <w:docPartObj>
        <w:docPartGallery w:val="Page Numbers (Bottom of Page)"/>
        <w:docPartUnique/>
      </w:docPartObj>
    </w:sdtPr>
    <w:sdtEndPr/>
    <w:sdtContent>
      <w:p w:rsidR="00D72013" w:rsidRDefault="00D720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CD" w:rsidRPr="00EC58CD">
          <w:rPr>
            <w:noProof/>
            <w:lang w:val="zh-CN"/>
          </w:rPr>
          <w:t>2</w:t>
        </w:r>
        <w:r>
          <w:fldChar w:fldCharType="end"/>
        </w:r>
      </w:p>
    </w:sdtContent>
  </w:sdt>
  <w:p w:rsidR="00E84DDD" w:rsidRDefault="00E84D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65" w:rsidRDefault="00517D65">
      <w:r>
        <w:separator/>
      </w:r>
    </w:p>
  </w:footnote>
  <w:footnote w:type="continuationSeparator" w:id="0">
    <w:p w:rsidR="00517D65" w:rsidRDefault="0051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2F78"/>
    <w:multiLevelType w:val="singleLevel"/>
    <w:tmpl w:val="01732F7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67351F86"/>
    <w:multiLevelType w:val="singleLevel"/>
    <w:tmpl w:val="67351F86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7A80252A"/>
    <w:multiLevelType w:val="singleLevel"/>
    <w:tmpl w:val="7A80252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1F1C"/>
    <w:rsid w:val="00156C2C"/>
    <w:rsid w:val="0016724E"/>
    <w:rsid w:val="00184325"/>
    <w:rsid w:val="001901F9"/>
    <w:rsid w:val="00197EF7"/>
    <w:rsid w:val="001A6ADF"/>
    <w:rsid w:val="001C4310"/>
    <w:rsid w:val="001E7C5C"/>
    <w:rsid w:val="00281BF8"/>
    <w:rsid w:val="0029329A"/>
    <w:rsid w:val="002B384B"/>
    <w:rsid w:val="002F144C"/>
    <w:rsid w:val="002F2143"/>
    <w:rsid w:val="00314DD5"/>
    <w:rsid w:val="0033185A"/>
    <w:rsid w:val="0034436D"/>
    <w:rsid w:val="003451D7"/>
    <w:rsid w:val="003455E6"/>
    <w:rsid w:val="00357F27"/>
    <w:rsid w:val="0038633A"/>
    <w:rsid w:val="00392AD0"/>
    <w:rsid w:val="00395129"/>
    <w:rsid w:val="00397CD0"/>
    <w:rsid w:val="003C1CEF"/>
    <w:rsid w:val="003D0B3F"/>
    <w:rsid w:val="00412DAF"/>
    <w:rsid w:val="0041724F"/>
    <w:rsid w:val="00417336"/>
    <w:rsid w:val="004364F8"/>
    <w:rsid w:val="004478FC"/>
    <w:rsid w:val="004A654B"/>
    <w:rsid w:val="004B5F74"/>
    <w:rsid w:val="004C3513"/>
    <w:rsid w:val="004F3D58"/>
    <w:rsid w:val="00506E78"/>
    <w:rsid w:val="00517D65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27B9"/>
    <w:rsid w:val="00783A82"/>
    <w:rsid w:val="007D2E0E"/>
    <w:rsid w:val="007F5524"/>
    <w:rsid w:val="00804CA1"/>
    <w:rsid w:val="008117B8"/>
    <w:rsid w:val="008521EF"/>
    <w:rsid w:val="00880F04"/>
    <w:rsid w:val="00895177"/>
    <w:rsid w:val="0089610B"/>
    <w:rsid w:val="008D7ECA"/>
    <w:rsid w:val="00900928"/>
    <w:rsid w:val="0093297A"/>
    <w:rsid w:val="009756BD"/>
    <w:rsid w:val="009927AB"/>
    <w:rsid w:val="009B17D9"/>
    <w:rsid w:val="009B1CE0"/>
    <w:rsid w:val="009C78F5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60BFA"/>
    <w:rsid w:val="00BA54E8"/>
    <w:rsid w:val="00BC5A14"/>
    <w:rsid w:val="00C03DAE"/>
    <w:rsid w:val="00C24969"/>
    <w:rsid w:val="00C866ED"/>
    <w:rsid w:val="00CB1B93"/>
    <w:rsid w:val="00CD571D"/>
    <w:rsid w:val="00CE0330"/>
    <w:rsid w:val="00CE13D2"/>
    <w:rsid w:val="00CF0D96"/>
    <w:rsid w:val="00CF555A"/>
    <w:rsid w:val="00D11774"/>
    <w:rsid w:val="00D16C55"/>
    <w:rsid w:val="00D2271C"/>
    <w:rsid w:val="00D413F8"/>
    <w:rsid w:val="00D43DB8"/>
    <w:rsid w:val="00D56EA6"/>
    <w:rsid w:val="00D72013"/>
    <w:rsid w:val="00D731C9"/>
    <w:rsid w:val="00D762A4"/>
    <w:rsid w:val="00D84BF9"/>
    <w:rsid w:val="00DA0861"/>
    <w:rsid w:val="00DC7CCF"/>
    <w:rsid w:val="00DE52CB"/>
    <w:rsid w:val="00E4149F"/>
    <w:rsid w:val="00E438EF"/>
    <w:rsid w:val="00E45F03"/>
    <w:rsid w:val="00E5769E"/>
    <w:rsid w:val="00E610CF"/>
    <w:rsid w:val="00E7052B"/>
    <w:rsid w:val="00E75233"/>
    <w:rsid w:val="00E764E7"/>
    <w:rsid w:val="00E84DDD"/>
    <w:rsid w:val="00EC58CD"/>
    <w:rsid w:val="00EF2FC7"/>
    <w:rsid w:val="00EF73EB"/>
    <w:rsid w:val="00F56DA2"/>
    <w:rsid w:val="00F64B8F"/>
    <w:rsid w:val="00FB5CDD"/>
    <w:rsid w:val="00FC246E"/>
    <w:rsid w:val="00FE1AF9"/>
    <w:rsid w:val="190A207C"/>
    <w:rsid w:val="199130D1"/>
    <w:rsid w:val="1C0D4647"/>
    <w:rsid w:val="22EE5E6A"/>
    <w:rsid w:val="3E996D9F"/>
    <w:rsid w:val="49090E97"/>
    <w:rsid w:val="66263523"/>
    <w:rsid w:val="663F5461"/>
    <w:rsid w:val="675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rmal (Web)"/>
    <w:basedOn w:val="a"/>
    <w:semiHidden/>
    <w:unhideWhenUsed/>
    <w:qFormat/>
    <w:rsid w:val="003C1CE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HTML">
    <w:name w:val="HTML Definition"/>
    <w:uiPriority w:val="99"/>
    <w:unhideWhenUsed/>
    <w:rsid w:val="003C1CEF"/>
    <w:rPr>
      <w:b w:val="0"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rmal (Web)"/>
    <w:basedOn w:val="a"/>
    <w:semiHidden/>
    <w:unhideWhenUsed/>
    <w:qFormat/>
    <w:rsid w:val="003C1CE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HTML">
    <w:name w:val="HTML Definition"/>
    <w:uiPriority w:val="99"/>
    <w:unhideWhenUsed/>
    <w:rsid w:val="003C1CEF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3FBC0-39B4-4165-A9A1-2673C121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BBDFDF0E.dotm</Template>
  <TotalTime>30</TotalTime>
  <Pages>1</Pages>
  <Words>489</Words>
  <Characters>2790</Characters>
  <Application>Microsoft Office Word</Application>
  <DocSecurity>0</DocSecurity>
  <Lines>23</Lines>
  <Paragraphs>6</Paragraphs>
  <ScaleCrop>false</ScaleCrop>
  <Company>http://sdwm.org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张慧文</cp:lastModifiedBy>
  <cp:revision>10</cp:revision>
  <cp:lastPrinted>2016-09-01T02:58:00Z</cp:lastPrinted>
  <dcterms:created xsi:type="dcterms:W3CDTF">2018-07-31T00:40:00Z</dcterms:created>
  <dcterms:modified xsi:type="dcterms:W3CDTF">2018-08-08T06:26:00Z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