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方正公文小标宋" w:hAnsi="方正公文小标宋" w:eastAsia="方正公文小标宋" w:cs="方正公文小标宋"/>
          <w:color w:val="000000"/>
          <w:sz w:val="44"/>
          <w:szCs w:val="44"/>
        </w:rPr>
      </w:pPr>
      <w:r>
        <w:rPr>
          <w:rFonts w:hint="eastAsia" w:ascii="方正小标宋_GBK" w:hAnsi="方正小标宋_GBK" w:eastAsia="方正小标宋_GBK" w:cs="方正小标宋_GBK"/>
          <w:color w:val="000000"/>
          <w:sz w:val="44"/>
          <w:szCs w:val="44"/>
          <w:lang w:eastAsia="zh-CN"/>
        </w:rPr>
        <w:t>河北省</w:t>
      </w:r>
      <w:r>
        <w:rPr>
          <w:rFonts w:hint="eastAsia" w:ascii="方正小标宋_GBK" w:hAnsi="方正小标宋_GBK" w:eastAsia="方正小标宋_GBK" w:cs="方正小标宋_GBK"/>
          <w:color w:val="000000"/>
          <w:sz w:val="44"/>
          <w:szCs w:val="44"/>
        </w:rPr>
        <w:t>奶片食品生产许可审查方案（试行）</w:t>
      </w:r>
    </w:p>
    <w:p>
      <w:pPr>
        <w:spacing w:line="600" w:lineRule="exact"/>
        <w:jc w:val="center"/>
        <w:rPr>
          <w:rFonts w:ascii="方正公文小标宋" w:hAnsi="方正公文小标宋" w:eastAsia="方正公文小标宋" w:cs="方正公文小标宋"/>
          <w:color w:val="000000"/>
          <w:sz w:val="44"/>
          <w:szCs w:val="44"/>
        </w:rPr>
      </w:pPr>
    </w:p>
    <w:p>
      <w:pPr>
        <w:widowControl/>
        <w:numPr>
          <w:ilvl w:val="0"/>
          <w:numId w:val="1"/>
        </w:numPr>
        <w:shd w:val="clear"/>
        <w:spacing w:line="600" w:lineRule="exact"/>
        <w:ind w:firstLine="480"/>
        <w:jc w:val="center"/>
        <w:rPr>
          <w:rFonts w:ascii="黑体" w:hAnsi="黑体" w:eastAsia="黑体" w:cs="黑体"/>
          <w:color w:val="333333"/>
          <w:kern w:val="0"/>
        </w:rPr>
      </w:pPr>
      <w:r>
        <w:rPr>
          <w:rFonts w:hint="eastAsia" w:ascii="黑体" w:hAnsi="黑体" w:eastAsia="黑体" w:cs="黑体"/>
          <w:color w:val="333333"/>
          <w:kern w:val="0"/>
        </w:rPr>
        <w:t>总则</w:t>
      </w:r>
    </w:p>
    <w:p>
      <w:pPr>
        <w:widowControl/>
        <w:shd w:val="clear"/>
        <w:spacing w:line="600" w:lineRule="exact"/>
        <w:ind w:firstLine="624" w:firstLineChars="200"/>
        <w:jc w:val="left"/>
        <w:rPr>
          <w:rFonts w:ascii="仿宋" w:hAnsi="仿宋" w:cs="仿宋"/>
          <w:color w:val="333333"/>
          <w:kern w:val="0"/>
        </w:rPr>
      </w:pPr>
      <w:r>
        <w:rPr>
          <w:rFonts w:hint="eastAsia" w:ascii="仿宋" w:hAnsi="仿宋" w:cs="仿宋"/>
          <w:b/>
          <w:bCs/>
          <w:color w:val="333333"/>
          <w:kern w:val="0"/>
        </w:rPr>
        <w:t>第一条</w:t>
      </w:r>
      <w:r>
        <w:rPr>
          <w:rFonts w:hint="eastAsia" w:ascii="仿宋" w:hAnsi="仿宋" w:cs="仿宋"/>
          <w:color w:val="333333"/>
          <w:kern w:val="0"/>
        </w:rPr>
        <w:t xml:space="preserve"> 为规范奶片食品生产许可活动，加强奶片食品安全监管，根据《中华人民共和国食品安全法》及其实施条例、《食品生产许可管理办法》等法律法规规章和食品安全国家标准的规定，制定本审查方案。</w:t>
      </w:r>
    </w:p>
    <w:p>
      <w:pPr>
        <w:widowControl/>
        <w:shd w:val="clear"/>
        <w:spacing w:line="600" w:lineRule="exact"/>
        <w:ind w:firstLine="624" w:firstLineChars="200"/>
        <w:jc w:val="left"/>
        <w:rPr>
          <w:rFonts w:hint="eastAsia" w:ascii="仿宋" w:hAnsi="仿宋" w:cs="仿宋"/>
          <w:color w:val="333333"/>
          <w:kern w:val="0"/>
        </w:rPr>
      </w:pPr>
      <w:r>
        <w:rPr>
          <w:rFonts w:hint="eastAsia" w:ascii="仿宋" w:hAnsi="仿宋" w:cs="仿宋"/>
          <w:b/>
          <w:bCs/>
          <w:color w:val="333333"/>
          <w:kern w:val="0"/>
        </w:rPr>
        <w:t>第二条</w:t>
      </w:r>
      <w:r>
        <w:rPr>
          <w:rFonts w:ascii="仿宋" w:hAnsi="仿宋" w:cs="仿宋"/>
          <w:color w:val="333333"/>
          <w:kern w:val="0"/>
        </w:rPr>
        <w:t xml:space="preserve"> </w:t>
      </w:r>
      <w:r>
        <w:rPr>
          <w:rFonts w:hint="eastAsia" w:ascii="仿宋" w:hAnsi="仿宋" w:cs="仿宋"/>
          <w:color w:val="333333"/>
          <w:kern w:val="0"/>
        </w:rPr>
        <w:t>本方案中所称奶片是指以乳粉为主要原料，</w:t>
      </w:r>
      <w:r>
        <w:rPr>
          <w:rFonts w:hint="eastAsia" w:ascii="仿宋" w:hAnsi="仿宋" w:cs="仿宋"/>
          <w:color w:val="333333"/>
          <w:kern w:val="0"/>
          <w:lang w:eastAsia="zh-CN"/>
        </w:rPr>
        <w:t>添加辅料，添加或不添加食品添加剂、食品营养强化剂，</w:t>
      </w:r>
      <w:r>
        <w:rPr>
          <w:rFonts w:hint="eastAsia" w:ascii="仿宋" w:hAnsi="仿宋" w:cs="仿宋"/>
          <w:color w:val="333333"/>
          <w:kern w:val="0"/>
        </w:rPr>
        <w:t>经配料、压片等工艺制成的乳固体含量不低于70%的片状乳制品。</w:t>
      </w:r>
    </w:p>
    <w:p>
      <w:pPr>
        <w:widowControl/>
        <w:shd w:val="clear"/>
        <w:spacing w:line="600" w:lineRule="exact"/>
        <w:ind w:firstLine="624" w:firstLineChars="200"/>
        <w:jc w:val="left"/>
        <w:rPr>
          <w:rFonts w:ascii="仿宋" w:hAnsi="仿宋" w:cs="仿宋"/>
          <w:color w:val="333333"/>
          <w:kern w:val="0"/>
        </w:rPr>
      </w:pPr>
      <w:r>
        <w:rPr>
          <w:rFonts w:hint="eastAsia" w:ascii="仿宋" w:hAnsi="仿宋" w:cs="仿宋"/>
          <w:b/>
          <w:bCs/>
          <w:color w:val="333333"/>
        </w:rPr>
        <w:t>第三条</w:t>
      </w:r>
      <w:r>
        <w:rPr>
          <w:rFonts w:ascii="仿宋" w:hAnsi="仿宋" w:cs="仿宋"/>
          <w:color w:val="333333"/>
        </w:rPr>
        <w:t xml:space="preserve"> </w:t>
      </w:r>
      <w:r>
        <w:rPr>
          <w:rFonts w:hint="eastAsia" w:ascii="仿宋" w:hAnsi="仿宋" w:cs="仿宋"/>
          <w:color w:val="333333"/>
          <w:kern w:val="0"/>
        </w:rPr>
        <w:t>本方案应与《食品生产许可审查通则》结合使用，适用于河北省奶片食品生产许可审查工作。</w:t>
      </w:r>
      <w:bookmarkStart w:id="0" w:name="OLE_LINK22"/>
      <w:bookmarkStart w:id="1" w:name="OLE_LINK21"/>
      <w:bookmarkStart w:id="2" w:name="OLE_LINK23"/>
      <w:r>
        <w:rPr>
          <w:rFonts w:hint="eastAsia" w:ascii="仿宋" w:hAnsi="仿宋" w:cs="仿宋"/>
          <w:color w:val="333333"/>
          <w:kern w:val="0"/>
        </w:rPr>
        <w:t>仅有包装场地、工序、设备，没有完整生产工艺条件、不生产奶片最终销售包装产品的，不予生产许可。</w:t>
      </w:r>
      <w:bookmarkEnd w:id="0"/>
      <w:bookmarkEnd w:id="1"/>
      <w:bookmarkEnd w:id="2"/>
    </w:p>
    <w:p>
      <w:pPr>
        <w:widowControl/>
        <w:shd w:val="clear"/>
        <w:spacing w:line="600" w:lineRule="exact"/>
        <w:ind w:firstLine="624" w:firstLineChars="200"/>
        <w:jc w:val="left"/>
        <w:rPr>
          <w:rFonts w:ascii="仿宋" w:hAnsi="仿宋" w:cs="仿宋"/>
          <w:color w:val="333333"/>
          <w:kern w:val="0"/>
        </w:rPr>
      </w:pPr>
      <w:r>
        <w:rPr>
          <w:rFonts w:hint="eastAsia" w:ascii="仿宋" w:hAnsi="仿宋" w:cs="仿宋"/>
          <w:b/>
          <w:bCs/>
          <w:color w:val="333333"/>
        </w:rPr>
        <w:t>第四条</w:t>
      </w:r>
      <w:r>
        <w:rPr>
          <w:rFonts w:ascii="仿宋" w:hAnsi="仿宋" w:cs="仿宋"/>
          <w:color w:val="333333"/>
        </w:rPr>
        <w:t xml:space="preserve"> </w:t>
      </w:r>
      <w:r>
        <w:rPr>
          <w:rFonts w:hint="eastAsia" w:ascii="仿宋" w:hAnsi="仿宋" w:cs="仿宋"/>
          <w:color w:val="333333"/>
        </w:rPr>
        <w:t>奶</w:t>
      </w:r>
      <w:r>
        <w:rPr>
          <w:rFonts w:hint="eastAsia" w:ascii="仿宋" w:hAnsi="仿宋" w:cs="仿宋"/>
          <w:color w:val="333333"/>
          <w:kern w:val="0"/>
        </w:rPr>
        <w:t>片的申证类别为乳制品，类别名称为其他乳制品，类别编号为0503，食品品种明细：特色乳制品（奶片）。</w:t>
      </w:r>
    </w:p>
    <w:p>
      <w:pPr>
        <w:spacing w:line="600" w:lineRule="exact"/>
        <w:ind w:firstLine="624" w:firstLineChars="200"/>
        <w:rPr>
          <w:rFonts w:ascii="仿宋" w:hAnsi="仿宋" w:cs="仿宋"/>
          <w:color w:val="333333"/>
          <w:kern w:val="0"/>
        </w:rPr>
      </w:pPr>
      <w:r>
        <w:rPr>
          <w:rFonts w:hint="eastAsia" w:ascii="仿宋" w:hAnsi="仿宋" w:cs="仿宋"/>
          <w:b/>
          <w:bCs/>
          <w:color w:val="333333"/>
          <w:kern w:val="0"/>
        </w:rPr>
        <w:t>第五条</w:t>
      </w:r>
      <w:r>
        <w:rPr>
          <w:rFonts w:ascii="仿宋" w:hAnsi="仿宋" w:cs="仿宋"/>
          <w:b/>
          <w:bCs/>
          <w:color w:val="333333"/>
          <w:kern w:val="0"/>
        </w:rPr>
        <w:t xml:space="preserve"> </w:t>
      </w:r>
      <w:r>
        <w:rPr>
          <w:rFonts w:hint="eastAsia" w:ascii="仿宋" w:hAnsi="仿宋" w:cs="仿宋"/>
          <w:color w:val="333333"/>
          <w:kern w:val="0"/>
        </w:rPr>
        <w:t>本方案中引用的文件、标准通过引用成为本方案的内容。凡是引用文件、标准，其最新版本（包括所有的修改单）适用于本方案。</w:t>
      </w:r>
    </w:p>
    <w:p>
      <w:pPr>
        <w:spacing w:line="600" w:lineRule="exact"/>
        <w:ind w:firstLine="624" w:firstLineChars="200"/>
        <w:rPr>
          <w:rFonts w:ascii="仿宋" w:hAnsi="仿宋" w:cs="仿宋"/>
          <w:color w:val="333333"/>
          <w:kern w:val="0"/>
        </w:rPr>
      </w:pPr>
    </w:p>
    <w:p>
      <w:pPr>
        <w:pStyle w:val="5"/>
        <w:tabs>
          <w:tab w:val="left" w:pos="0"/>
        </w:tabs>
        <w:spacing w:line="600" w:lineRule="exact"/>
        <w:jc w:val="center"/>
        <w:rPr>
          <w:rFonts w:ascii="黑体" w:hAnsi="黑体" w:eastAsia="黑体" w:cs="黑体"/>
          <w:color w:val="000000" w:themeColor="text1"/>
          <w:kern w:val="0"/>
          <w14:textFill>
            <w14:solidFill>
              <w14:schemeClr w14:val="tx1"/>
            </w14:solidFill>
          </w14:textFill>
        </w:rPr>
      </w:pPr>
      <w:r>
        <w:rPr>
          <w:rFonts w:hint="eastAsia" w:ascii="黑体" w:hAnsi="黑体" w:eastAsia="黑体" w:cs="黑体"/>
          <w:color w:val="000000" w:themeColor="text1"/>
          <w:kern w:val="0"/>
          <w14:textFill>
            <w14:solidFill>
              <w14:schemeClr w14:val="tx1"/>
            </w14:solidFill>
          </w14:textFill>
        </w:rPr>
        <w:t xml:space="preserve"> </w:t>
      </w:r>
      <w:bookmarkStart w:id="3" w:name="OLE_LINK20"/>
      <w:bookmarkStart w:id="4" w:name="OLE_LINK19"/>
      <w:r>
        <w:rPr>
          <w:rFonts w:hint="eastAsia" w:ascii="黑体" w:hAnsi="黑体" w:eastAsia="黑体" w:cs="黑体"/>
          <w:color w:val="000000" w:themeColor="text1"/>
          <w:kern w:val="0"/>
          <w14:textFill>
            <w14:solidFill>
              <w14:schemeClr w14:val="tx1"/>
            </w14:solidFill>
          </w14:textFill>
        </w:rPr>
        <w:t>第二章 生产场所</w:t>
      </w:r>
    </w:p>
    <w:p>
      <w:pPr>
        <w:pStyle w:val="5"/>
        <w:tabs>
          <w:tab w:val="left" w:pos="0"/>
        </w:tabs>
        <w:spacing w:line="600" w:lineRule="exact"/>
        <w:jc w:val="left"/>
        <w:rPr>
          <w:rFonts w:ascii="仿宋" w:hAnsi="仿宋" w:eastAsia="仿宋" w:cs="仿宋"/>
          <w:color w:val="333333"/>
          <w:kern w:val="0"/>
        </w:rPr>
      </w:pPr>
      <w:r>
        <w:rPr>
          <w:rFonts w:hint="eastAsia" w:ascii="仿宋" w:hAnsi="仿宋" w:cs="仿宋"/>
          <w:b/>
          <w:bCs/>
          <w:color w:val="333333"/>
          <w:kern w:val="0"/>
        </w:rPr>
        <w:t xml:space="preserve"> </w:t>
      </w:r>
      <w:r>
        <w:rPr>
          <w:rFonts w:ascii="仿宋" w:hAnsi="仿宋" w:cs="仿宋"/>
          <w:b/>
          <w:bCs/>
          <w:color w:val="333333"/>
          <w:kern w:val="0"/>
        </w:rPr>
        <w:t xml:space="preserve">   </w:t>
      </w:r>
      <w:r>
        <w:rPr>
          <w:rFonts w:hint="eastAsia" w:ascii="仿宋" w:hAnsi="仿宋" w:eastAsia="仿宋" w:cs="仿宋"/>
          <w:b/>
          <w:bCs/>
          <w:color w:val="333333"/>
          <w:kern w:val="0"/>
        </w:rPr>
        <w:t xml:space="preserve">第六条 </w:t>
      </w:r>
      <w:r>
        <w:rPr>
          <w:rFonts w:hint="eastAsia" w:ascii="仿宋" w:hAnsi="仿宋" w:eastAsia="仿宋" w:cs="仿宋"/>
          <w:color w:val="333333"/>
          <w:kern w:val="0"/>
        </w:rPr>
        <w:t>企业选址及厂区环境、厂房和车间应当符合《食品生产许可审查通则》、《食品安全国家标准 食品生产通用卫生规范》（GB 14881）和《食品安全国家标准 乳制品良好生产规范》（GB 12693）的相关规定。</w:t>
      </w:r>
    </w:p>
    <w:p>
      <w:pPr>
        <w:spacing w:line="600" w:lineRule="exact"/>
        <w:ind w:firstLine="624" w:firstLineChars="200"/>
        <w:rPr>
          <w:rFonts w:ascii="仿宋" w:hAnsi="仿宋" w:cs="仿宋"/>
          <w:color w:val="333333"/>
          <w:kern w:val="0"/>
        </w:rPr>
      </w:pPr>
      <w:r>
        <w:rPr>
          <w:rFonts w:hint="eastAsia" w:ascii="仿宋" w:hAnsi="仿宋" w:cs="仿宋"/>
          <w:b/>
          <w:bCs/>
          <w:color w:val="333333"/>
          <w:kern w:val="0"/>
        </w:rPr>
        <w:t xml:space="preserve">第七条 </w:t>
      </w:r>
      <w:r>
        <w:rPr>
          <w:rFonts w:hint="eastAsia" w:ascii="仿宋" w:hAnsi="仿宋" w:cs="仿宋"/>
          <w:color w:val="333333"/>
          <w:kern w:val="0"/>
        </w:rPr>
        <w:t>厂区应远离畜禽养殖场，且厂区内不得饲养动物。各功能区域有适当的分离或分隔措施，减少环境对食品生产带来潜在的污染风险。厂区内道路应铺设硬质材料，空地应硬化或绿化，应有适当的排水系统，正常气候条件下不应有扬尘或积水等现象。</w:t>
      </w:r>
    </w:p>
    <w:p>
      <w:pPr>
        <w:widowControl/>
        <w:shd w:val="clear"/>
        <w:spacing w:line="600" w:lineRule="exact"/>
        <w:ind w:firstLine="624" w:firstLineChars="200"/>
        <w:jc w:val="left"/>
        <w:rPr>
          <w:rFonts w:ascii="仿宋" w:hAnsi="仿宋" w:cs="仿宋"/>
          <w:color w:val="333333"/>
          <w:kern w:val="0"/>
        </w:rPr>
      </w:pPr>
      <w:r>
        <w:rPr>
          <w:rFonts w:hint="eastAsia" w:ascii="仿宋" w:hAnsi="仿宋" w:cs="仿宋"/>
          <w:b/>
          <w:bCs/>
          <w:color w:val="333333"/>
          <w:kern w:val="0"/>
        </w:rPr>
        <w:t>第八条</w:t>
      </w:r>
      <w:r>
        <w:rPr>
          <w:rFonts w:ascii="仿宋" w:hAnsi="仿宋" w:cs="仿宋"/>
          <w:color w:val="333333"/>
          <w:kern w:val="0"/>
        </w:rPr>
        <w:t xml:space="preserve"> </w:t>
      </w:r>
      <w:r>
        <w:rPr>
          <w:rFonts w:hint="eastAsia" w:ascii="仿宋" w:hAnsi="仿宋" w:cs="仿宋"/>
          <w:color w:val="333333"/>
          <w:kern w:val="0"/>
        </w:rPr>
        <w:t>应有与企业生产能力相适应的生产车间和辅助生产设施，其设计应按工艺流程及卫生要求有序而合理布局。</w:t>
      </w:r>
    </w:p>
    <w:p>
      <w:pPr>
        <w:widowControl/>
        <w:shd w:val="clear"/>
        <w:spacing w:line="600" w:lineRule="exact"/>
        <w:ind w:firstLine="624" w:firstLineChars="200"/>
        <w:jc w:val="left"/>
        <w:rPr>
          <w:rFonts w:ascii="仿宋" w:hAnsi="仿宋" w:cs="仿宋"/>
          <w:color w:val="333333"/>
          <w:kern w:val="0"/>
          <w:highlight w:val="yellow"/>
        </w:rPr>
      </w:pPr>
      <w:r>
        <w:rPr>
          <w:rFonts w:hint="eastAsia" w:ascii="仿宋" w:hAnsi="仿宋" w:cs="仿宋"/>
          <w:color w:val="333333"/>
          <w:kern w:val="0"/>
        </w:rPr>
        <w:t>应根据工艺流程和防止交叉污染的要求设置生产作业区，按照洁净级别划分为清洁作业区、准清洁作业区和一般作业区，各作业区要有显著的标识加以区分。清洁作业区包括配料间、压片成型及内包装间、内包材杀菌间等；准清洁作业区包括原料缓冲间、原料脱包间等。一般作业区包括原辅料库、包装材料库、成品仓库、</w:t>
      </w:r>
      <w:r>
        <w:rPr>
          <w:rFonts w:hint="eastAsia" w:ascii="仿宋" w:hAnsi="仿宋" w:cs="仿宋"/>
          <w:kern w:val="0"/>
        </w:rPr>
        <w:t>外包装间等</w:t>
      </w:r>
      <w:r>
        <w:rPr>
          <w:rFonts w:hint="eastAsia" w:ascii="仿宋" w:hAnsi="仿宋" w:cs="仿宋"/>
          <w:color w:val="333333"/>
          <w:kern w:val="0"/>
        </w:rPr>
        <w:t>。</w:t>
      </w:r>
    </w:p>
    <w:p>
      <w:pPr>
        <w:tabs>
          <w:tab w:val="left" w:pos="8820"/>
        </w:tabs>
        <w:adjustRightInd w:val="0"/>
        <w:snapToGrid w:val="0"/>
        <w:spacing w:line="600" w:lineRule="exact"/>
        <w:ind w:firstLine="624" w:firstLineChars="200"/>
        <w:rPr>
          <w:rFonts w:ascii="仿宋" w:hAnsi="仿宋" w:cs="仿宋"/>
          <w:color w:val="333333"/>
          <w:kern w:val="0"/>
        </w:rPr>
      </w:pPr>
      <w:r>
        <w:rPr>
          <w:rFonts w:hint="eastAsia" w:ascii="仿宋" w:hAnsi="仿宋" w:cs="仿宋"/>
          <w:color w:val="333333"/>
          <w:kern w:val="0"/>
        </w:rPr>
        <w:t>不同洁净级别作业区应进行有效的物理隔离，防止交叉污染。</w:t>
      </w:r>
    </w:p>
    <w:p>
      <w:pPr>
        <w:spacing w:line="600" w:lineRule="exact"/>
        <w:ind w:firstLine="624" w:firstLineChars="200"/>
        <w:rPr>
          <w:rFonts w:ascii="仿宋" w:hAnsi="仿宋" w:cs="仿宋"/>
          <w:color w:val="333333"/>
          <w:kern w:val="0"/>
        </w:rPr>
      </w:pPr>
      <w:r>
        <w:rPr>
          <w:rFonts w:hint="eastAsia" w:ascii="仿宋" w:hAnsi="仿宋" w:cs="仿宋"/>
          <w:b/>
          <w:bCs/>
          <w:color w:val="333333"/>
          <w:kern w:val="0"/>
        </w:rPr>
        <w:t xml:space="preserve">第九条 </w:t>
      </w:r>
      <w:r>
        <w:rPr>
          <w:rFonts w:hint="eastAsia" w:ascii="仿宋" w:hAnsi="仿宋" w:cs="仿宋"/>
          <w:color w:val="333333"/>
          <w:kern w:val="0"/>
        </w:rPr>
        <w:t>厂房和车间建筑结构应符合相关标准的规定，保持建筑完好，环境整洁，防止虫害的侵入及孳生。生产车间内的墙壁、顶棚、门窗应平坦无裂缝，易于清洁。地面应使用无毒、无味、不渗透、耐腐蚀的材料建造，其结构应平整，易于清洗、消毒和防止积水。</w:t>
      </w:r>
    </w:p>
    <w:p>
      <w:pPr>
        <w:widowControl/>
        <w:shd w:val="clear"/>
        <w:spacing w:line="600" w:lineRule="exact"/>
        <w:ind w:firstLine="624" w:firstLineChars="200"/>
        <w:jc w:val="left"/>
        <w:rPr>
          <w:rFonts w:ascii="仿宋" w:hAnsi="仿宋" w:cs="仿宋"/>
          <w:color w:val="333333"/>
          <w:kern w:val="0"/>
        </w:rPr>
      </w:pPr>
      <w:r>
        <w:rPr>
          <w:rFonts w:hint="eastAsia" w:ascii="仿宋" w:hAnsi="仿宋" w:cs="仿宋"/>
          <w:b/>
          <w:bCs/>
          <w:color w:val="333333"/>
          <w:kern w:val="0"/>
        </w:rPr>
        <w:t xml:space="preserve">第十条 </w:t>
      </w:r>
      <w:r>
        <w:rPr>
          <w:rFonts w:hint="eastAsia" w:ascii="仿宋" w:hAnsi="仿宋" w:cs="仿宋"/>
          <w:color w:val="333333"/>
          <w:kern w:val="0"/>
        </w:rPr>
        <w:t>厂房内设置的检验室应与生产区域分隔。车间内设置的过程检验室应符合相关区域卫生要求，有防止污染的措施。</w:t>
      </w:r>
    </w:p>
    <w:p>
      <w:pPr>
        <w:widowControl/>
        <w:shd w:val="clear"/>
        <w:spacing w:line="600" w:lineRule="exact"/>
        <w:ind w:firstLine="624" w:firstLineChars="200"/>
        <w:jc w:val="left"/>
        <w:rPr>
          <w:rFonts w:ascii="仿宋" w:hAnsi="仿宋" w:cs="仿宋"/>
          <w:color w:val="333333"/>
          <w:kern w:val="0"/>
        </w:rPr>
      </w:pPr>
      <w:r>
        <w:rPr>
          <w:rFonts w:hint="eastAsia" w:ascii="仿宋" w:hAnsi="仿宋" w:cs="仿宋"/>
          <w:b/>
          <w:bCs/>
          <w:color w:val="333333"/>
          <w:kern w:val="0"/>
        </w:rPr>
        <w:t>第十一条</w:t>
      </w:r>
      <w:r>
        <w:rPr>
          <w:rFonts w:hint="eastAsia" w:ascii="仿宋" w:hAnsi="仿宋" w:cs="仿宋"/>
          <w:color w:val="333333"/>
          <w:kern w:val="0"/>
        </w:rPr>
        <w:t xml:space="preserve"> 清洁作业区的出入应有合理的限制和控制，清洁作业区、准清洁作业区的对外出入口应安装能自动关闭（如自动感应器或闭门器等）的门和（或）空气幕，并应确保两侧的门不被同时开启。</w:t>
      </w:r>
    </w:p>
    <w:p>
      <w:pPr>
        <w:widowControl/>
        <w:shd w:val="clear"/>
        <w:spacing w:line="600" w:lineRule="exact"/>
        <w:ind w:firstLine="624" w:firstLineChars="200"/>
        <w:jc w:val="left"/>
        <w:rPr>
          <w:rFonts w:ascii="仿宋" w:hAnsi="仿宋" w:cs="仿宋"/>
          <w:color w:val="333333"/>
          <w:kern w:val="0"/>
        </w:rPr>
      </w:pPr>
      <w:r>
        <w:rPr>
          <w:rFonts w:hint="eastAsia" w:ascii="仿宋" w:hAnsi="仿宋" w:cs="仿宋"/>
          <w:color w:val="333333"/>
          <w:kern w:val="0"/>
        </w:rPr>
        <w:t>进出清洁作业区的人员、原料、包装材料、废弃物、工器具等，应有防止交叉污染的措施。应设置原辅料包装清洁设施和包装材料清洁消毒设施，进出清洁作业区的原辅料通道两边的门应防止同时被开启。</w:t>
      </w:r>
    </w:p>
    <w:p>
      <w:pPr>
        <w:pStyle w:val="19"/>
        <w:tabs>
          <w:tab w:val="left" w:pos="0"/>
        </w:tabs>
        <w:autoSpaceDN w:val="0"/>
        <w:adjustRightInd w:val="0"/>
        <w:snapToGrid w:val="0"/>
        <w:spacing w:line="600" w:lineRule="exact"/>
        <w:ind w:firstLine="624"/>
        <w:jc w:val="left"/>
        <w:rPr>
          <w:rFonts w:ascii="仿宋" w:hAnsi="仿宋" w:cs="仿宋"/>
          <w:color w:val="333333"/>
          <w:kern w:val="0"/>
        </w:rPr>
      </w:pPr>
      <w:r>
        <w:rPr>
          <w:rFonts w:hint="eastAsia" w:ascii="仿宋" w:hAnsi="仿宋" w:cs="仿宋"/>
          <w:color w:val="333333"/>
          <w:kern w:val="0"/>
        </w:rPr>
        <w:t>清洁作业区应保持干燥，并尽量减少供水设施及系统，如无法避免，应有相应防护措施。</w:t>
      </w:r>
    </w:p>
    <w:p>
      <w:pPr>
        <w:widowControl/>
        <w:shd w:val="clear"/>
        <w:spacing w:line="600" w:lineRule="exact"/>
        <w:ind w:firstLine="720"/>
        <w:jc w:val="left"/>
        <w:rPr>
          <w:rFonts w:ascii="仿宋" w:hAnsi="仿宋" w:cs="仿宋"/>
          <w:color w:val="333333"/>
          <w:kern w:val="0"/>
        </w:rPr>
      </w:pPr>
      <w:r>
        <w:rPr>
          <w:rFonts w:hint="eastAsia" w:ascii="仿宋" w:hAnsi="仿宋" w:cs="仿宋"/>
          <w:b/>
          <w:bCs/>
          <w:color w:val="333333"/>
          <w:kern w:val="0"/>
        </w:rPr>
        <w:t>第十二条</w:t>
      </w:r>
      <w:r>
        <w:rPr>
          <w:rFonts w:ascii="仿宋" w:hAnsi="仿宋" w:cs="仿宋"/>
          <w:color w:val="333333"/>
          <w:kern w:val="0"/>
        </w:rPr>
        <w:t xml:space="preserve"> </w:t>
      </w:r>
      <w:r>
        <w:rPr>
          <w:rFonts w:hint="eastAsia" w:ascii="仿宋" w:hAnsi="仿宋" w:cs="仿宋"/>
          <w:color w:val="333333"/>
          <w:kern w:val="0"/>
        </w:rPr>
        <w:t>企业应具有与所生产产品的数量、储存要求相适应的仓储设施，并有通风和照明设施，必要时设有温、湿度控制设施，满足物料或产品储存条件和产品安全防护的要求。所有物料储存场所应有标识，并对该场所的人员出入加以控制。</w:t>
      </w:r>
    </w:p>
    <w:p>
      <w:pPr>
        <w:pStyle w:val="19"/>
        <w:widowControl/>
        <w:spacing w:line="600" w:lineRule="exact"/>
        <w:ind w:firstLine="624"/>
        <w:contextualSpacing/>
        <w:jc w:val="left"/>
        <w:rPr>
          <w:rFonts w:ascii="仿宋" w:hAnsi="仿宋" w:cs="仿宋"/>
          <w:color w:val="333333"/>
          <w:kern w:val="0"/>
        </w:rPr>
      </w:pPr>
      <w:r>
        <w:rPr>
          <w:rFonts w:ascii="仿宋" w:hAnsi="仿宋" w:cs="仿宋"/>
          <w:color w:val="333333"/>
          <w:kern w:val="0"/>
        </w:rPr>
        <w:t>原料、</w:t>
      </w:r>
      <w:r>
        <w:rPr>
          <w:rFonts w:hint="eastAsia" w:ascii="仿宋" w:hAnsi="仿宋" w:cs="仿宋"/>
          <w:color w:val="333333"/>
          <w:kern w:val="0"/>
        </w:rPr>
        <w:t>过程产品</w:t>
      </w:r>
      <w:r>
        <w:rPr>
          <w:rFonts w:ascii="仿宋" w:hAnsi="仿宋" w:cs="仿宋"/>
          <w:color w:val="333333"/>
          <w:kern w:val="0"/>
        </w:rPr>
        <w:t>、成品、包装材料等</w:t>
      </w:r>
      <w:r>
        <w:rPr>
          <w:rFonts w:hint="eastAsia" w:ascii="仿宋" w:hAnsi="仿宋" w:cs="仿宋"/>
          <w:color w:val="333333"/>
          <w:kern w:val="0"/>
        </w:rPr>
        <w:t>要依据</w:t>
      </w:r>
      <w:r>
        <w:rPr>
          <w:rFonts w:ascii="仿宋" w:hAnsi="仿宋" w:cs="仿宋"/>
          <w:color w:val="333333"/>
          <w:kern w:val="0"/>
        </w:rPr>
        <w:t>性质的不同分设</w:t>
      </w:r>
      <w:r>
        <w:rPr>
          <w:rFonts w:hint="eastAsia" w:ascii="仿宋" w:hAnsi="仿宋" w:cs="仿宋"/>
          <w:color w:val="333333"/>
          <w:kern w:val="0"/>
        </w:rPr>
        <w:t>储</w:t>
      </w:r>
      <w:r>
        <w:rPr>
          <w:rFonts w:ascii="仿宋" w:hAnsi="仿宋" w:cs="仿宋"/>
          <w:color w:val="333333"/>
          <w:kern w:val="0"/>
        </w:rPr>
        <w:t>存场所或分区域码放，不合格、退货或召回的物料或产品</w:t>
      </w:r>
      <w:r>
        <w:rPr>
          <w:rFonts w:hint="eastAsia" w:ascii="仿宋" w:hAnsi="仿宋" w:cs="仿宋"/>
          <w:color w:val="333333"/>
          <w:kern w:val="0"/>
        </w:rPr>
        <w:t>分隔或分区</w:t>
      </w:r>
      <w:r>
        <w:rPr>
          <w:rFonts w:ascii="仿宋" w:hAnsi="仿宋" w:cs="仿宋"/>
          <w:color w:val="333333"/>
          <w:kern w:val="0"/>
        </w:rPr>
        <w:t>存放</w:t>
      </w:r>
      <w:r>
        <w:rPr>
          <w:rFonts w:hint="eastAsia" w:ascii="仿宋" w:hAnsi="仿宋" w:cs="仿宋"/>
          <w:color w:val="333333"/>
          <w:kern w:val="0"/>
        </w:rPr>
        <w:t>，</w:t>
      </w:r>
      <w:r>
        <w:rPr>
          <w:rFonts w:ascii="仿宋" w:hAnsi="仿宋" w:cs="仿宋"/>
          <w:color w:val="333333"/>
          <w:kern w:val="0"/>
        </w:rPr>
        <w:t>并有明确标识</w:t>
      </w:r>
      <w:r>
        <w:rPr>
          <w:rFonts w:hint="eastAsia" w:ascii="仿宋" w:hAnsi="仿宋" w:cs="仿宋"/>
          <w:color w:val="333333"/>
          <w:kern w:val="0"/>
        </w:rPr>
        <w:t>，必要时应设有温度、湿度控制措施，如采用自动化仓储管理系统对物料进行管控，应保证具有等同的可控性。</w:t>
      </w:r>
    </w:p>
    <w:p>
      <w:pPr>
        <w:pStyle w:val="19"/>
        <w:widowControl/>
        <w:adjustRightInd w:val="0"/>
        <w:snapToGrid w:val="0"/>
        <w:spacing w:line="600" w:lineRule="exact"/>
        <w:ind w:firstLine="641" w:firstLineChars="0"/>
        <w:contextualSpacing/>
        <w:jc w:val="left"/>
        <w:rPr>
          <w:rFonts w:ascii="仿宋" w:hAnsi="仿宋" w:cs="仿宋"/>
          <w:color w:val="333333"/>
          <w:kern w:val="0"/>
        </w:rPr>
      </w:pPr>
      <w:r>
        <w:rPr>
          <w:rFonts w:ascii="仿宋" w:hAnsi="仿宋" w:cs="仿宋"/>
          <w:color w:val="333333"/>
          <w:kern w:val="0"/>
        </w:rPr>
        <w:t>清洁剂</w:t>
      </w:r>
      <w:r>
        <w:rPr>
          <w:rFonts w:hint="eastAsia" w:ascii="仿宋" w:hAnsi="仿宋" w:cs="仿宋"/>
          <w:color w:val="333333"/>
          <w:kern w:val="0"/>
        </w:rPr>
        <w:t>、</w:t>
      </w:r>
      <w:r>
        <w:rPr>
          <w:rFonts w:ascii="仿宋" w:hAnsi="仿宋" w:cs="仿宋"/>
          <w:color w:val="333333"/>
          <w:kern w:val="0"/>
        </w:rPr>
        <w:t>消毒剂等</w:t>
      </w:r>
      <w:r>
        <w:rPr>
          <w:rFonts w:hint="eastAsia" w:ascii="仿宋" w:hAnsi="仿宋" w:cs="仿宋"/>
          <w:color w:val="333333"/>
          <w:kern w:val="0"/>
        </w:rPr>
        <w:t>化学物品应与原辅材料、过程产品、成品等分库存放，防止交叉污染，并应有显著标识。</w:t>
      </w:r>
    </w:p>
    <w:p>
      <w:pPr>
        <w:widowControl/>
        <w:shd w:val="clear"/>
        <w:spacing w:line="600" w:lineRule="exact"/>
        <w:ind w:firstLine="720"/>
        <w:jc w:val="left"/>
        <w:rPr>
          <w:rFonts w:ascii="仿宋" w:hAnsi="仿宋" w:cs="仿宋"/>
          <w:color w:val="333333"/>
          <w:kern w:val="0"/>
        </w:rPr>
      </w:pPr>
      <w:r>
        <w:rPr>
          <w:rFonts w:hint="eastAsia" w:ascii="仿宋" w:hAnsi="仿宋" w:cs="仿宋"/>
          <w:color w:val="333333"/>
          <w:kern w:val="0"/>
        </w:rPr>
        <w:t xml:space="preserve"> 接收、发放和发运区域应能保护物料、产品免受外界天气（如雨、雪等）的影响，接收区的布局和设施应能够保证物料在进入仓储区前可对外包装进行必要的清洁。</w:t>
      </w:r>
    </w:p>
    <w:p>
      <w:pPr>
        <w:widowControl/>
        <w:shd w:val="clear"/>
        <w:spacing w:line="600" w:lineRule="exact"/>
        <w:ind w:firstLine="720"/>
        <w:jc w:val="left"/>
        <w:rPr>
          <w:rFonts w:ascii="仿宋" w:hAnsi="仿宋" w:cs="仿宋"/>
          <w:color w:val="333333"/>
          <w:kern w:val="0"/>
        </w:rPr>
      </w:pPr>
    </w:p>
    <w:p>
      <w:pPr>
        <w:widowControl/>
        <w:numPr>
          <w:ilvl w:val="0"/>
          <w:numId w:val="2"/>
        </w:numPr>
        <w:shd w:val="clear"/>
        <w:spacing w:line="600" w:lineRule="exact"/>
        <w:ind w:firstLine="480"/>
        <w:jc w:val="center"/>
        <w:rPr>
          <w:rFonts w:ascii="黑体" w:hAnsi="黑体" w:eastAsia="黑体" w:cs="黑体"/>
          <w:color w:val="333333"/>
          <w:kern w:val="0"/>
        </w:rPr>
      </w:pPr>
      <w:r>
        <w:rPr>
          <w:rFonts w:hint="eastAsia" w:ascii="黑体" w:hAnsi="黑体" w:eastAsia="黑体" w:cs="黑体"/>
          <w:color w:val="333333"/>
          <w:kern w:val="0"/>
        </w:rPr>
        <w:t>设备设施</w:t>
      </w:r>
    </w:p>
    <w:p>
      <w:pPr>
        <w:widowControl/>
        <w:shd w:val="clear"/>
        <w:spacing w:line="600" w:lineRule="exact"/>
        <w:rPr>
          <w:rFonts w:ascii="黑体" w:hAnsi="黑体" w:eastAsia="黑体" w:cs="黑体"/>
          <w:color w:val="333333"/>
          <w:kern w:val="0"/>
        </w:rPr>
      </w:pPr>
    </w:p>
    <w:p>
      <w:pPr>
        <w:widowControl/>
        <w:shd w:val="clear"/>
        <w:spacing w:line="600" w:lineRule="exact"/>
        <w:ind w:firstLine="624" w:firstLineChars="200"/>
        <w:jc w:val="left"/>
        <w:rPr>
          <w:rFonts w:ascii="仿宋" w:hAnsi="仿宋" w:cs="仿宋"/>
          <w:color w:val="333333"/>
          <w:kern w:val="0"/>
        </w:rPr>
      </w:pPr>
      <w:r>
        <w:rPr>
          <w:rFonts w:hint="eastAsia" w:ascii="仿宋" w:hAnsi="仿宋" w:cs="仿宋"/>
          <w:b/>
          <w:bCs/>
          <w:color w:val="333333"/>
          <w:kern w:val="0"/>
        </w:rPr>
        <w:t>第十三条</w:t>
      </w:r>
      <w:r>
        <w:rPr>
          <w:rFonts w:hint="eastAsia" w:ascii="仿宋" w:hAnsi="仿宋" w:cs="仿宋"/>
          <w:color w:val="333333"/>
          <w:kern w:val="0"/>
        </w:rPr>
        <w:t xml:space="preserve"> 生产设备的配备应与生产规模、工艺流程、工艺参数相适应。奶片生产设备一般包括：</w:t>
      </w:r>
      <w:r>
        <w:rPr>
          <w:rFonts w:hint="eastAsia" w:ascii="仿宋" w:hAnsi="仿宋" w:cs="仿宋"/>
          <w:color w:val="333333"/>
          <w:kern w:val="0"/>
          <w:lang w:eastAsia="zh-CN"/>
        </w:rPr>
        <w:t>原辅料预处理设备、</w:t>
      </w:r>
      <w:r>
        <w:rPr>
          <w:rFonts w:hint="eastAsia" w:ascii="仿宋" w:hAnsi="仿宋" w:cs="仿宋"/>
          <w:color w:val="333333"/>
          <w:kern w:val="0"/>
        </w:rPr>
        <w:t>配料设备、干燥设备（有此工艺时）、成型设备、包装设备等。</w:t>
      </w:r>
    </w:p>
    <w:p>
      <w:pPr>
        <w:shd w:val="clear"/>
        <w:spacing w:line="600" w:lineRule="exact"/>
        <w:ind w:firstLine="624" w:firstLineChars="200"/>
        <w:rPr>
          <w:rFonts w:ascii="仿宋" w:hAnsi="仿宋" w:cs="仿宋"/>
          <w:color w:val="333333"/>
          <w:kern w:val="0"/>
        </w:rPr>
      </w:pPr>
      <w:r>
        <w:rPr>
          <w:rFonts w:hint="eastAsia" w:ascii="仿宋" w:hAnsi="仿宋" w:cs="仿宋"/>
          <w:b/>
          <w:bCs/>
          <w:color w:val="333333"/>
          <w:kern w:val="0"/>
        </w:rPr>
        <w:t>第十四条</w:t>
      </w:r>
      <w:r>
        <w:rPr>
          <w:rFonts w:hint="eastAsia" w:ascii="仿宋" w:hAnsi="仿宋" w:cs="仿宋"/>
          <w:color w:val="333333"/>
          <w:kern w:val="0"/>
        </w:rPr>
        <w:t xml:space="preserve"> 设备维护保养完好，其性能与精度符合生产工艺要求。设备应定期检查并记录。</w:t>
      </w:r>
    </w:p>
    <w:p>
      <w:pPr>
        <w:widowControl/>
        <w:shd w:val="clear"/>
        <w:spacing w:line="600" w:lineRule="exact"/>
        <w:ind w:firstLine="624" w:firstLineChars="200"/>
        <w:rPr>
          <w:rFonts w:ascii="仿宋" w:hAnsi="仿宋" w:cs="仿宋"/>
          <w:color w:val="333333"/>
          <w:kern w:val="0"/>
        </w:rPr>
      </w:pPr>
      <w:r>
        <w:rPr>
          <w:rFonts w:hint="eastAsia" w:ascii="仿宋" w:hAnsi="仿宋" w:cs="仿宋"/>
          <w:b/>
          <w:bCs/>
          <w:color w:val="333333"/>
          <w:kern w:val="0"/>
        </w:rPr>
        <w:t>第十五条</w:t>
      </w:r>
      <w:r>
        <w:rPr>
          <w:rFonts w:hint="eastAsia" w:ascii="仿宋" w:hAnsi="仿宋" w:cs="仿宋"/>
          <w:color w:val="333333"/>
          <w:kern w:val="0"/>
        </w:rPr>
        <w:t xml:space="preserve"> 生产设备、设施等应有运行状态标识，需检定或校准的生产设备、监控设备和检验设备应有检定或校准状态标识。</w:t>
      </w:r>
    </w:p>
    <w:p>
      <w:pPr>
        <w:shd w:val="clear"/>
        <w:adjustRightInd w:val="0"/>
        <w:snapToGrid w:val="0"/>
        <w:spacing w:line="600" w:lineRule="exact"/>
        <w:ind w:firstLine="630"/>
        <w:rPr>
          <w:rFonts w:ascii="仿宋" w:hAnsi="仿宋" w:cs="仿宋"/>
          <w:color w:val="333333"/>
          <w:kern w:val="0"/>
        </w:rPr>
      </w:pPr>
      <w:r>
        <w:rPr>
          <w:rFonts w:hint="eastAsia" w:ascii="仿宋" w:hAnsi="仿宋" w:cs="仿宋"/>
          <w:b/>
          <w:bCs/>
          <w:color w:val="333333"/>
          <w:kern w:val="0"/>
        </w:rPr>
        <w:t>第十六条</w:t>
      </w:r>
      <w:r>
        <w:rPr>
          <w:rFonts w:hint="eastAsia" w:ascii="仿宋" w:hAnsi="仿宋" w:cs="仿宋"/>
          <w:color w:val="333333"/>
          <w:kern w:val="0"/>
        </w:rPr>
        <w:t xml:space="preserve"> 与原料、过程产品、成品直接或间接接触的所有设备与用具应当使用无毒、无味、抗腐蚀、不易脱落的材料制作，并应易于清洁和保养。不应使用竹、木质工具。</w:t>
      </w:r>
    </w:p>
    <w:p>
      <w:pPr>
        <w:shd w:val="clear"/>
        <w:adjustRightInd w:val="0"/>
        <w:snapToGrid w:val="0"/>
        <w:spacing w:line="560" w:lineRule="exact"/>
        <w:ind w:firstLine="624" w:firstLineChars="200"/>
        <w:rPr>
          <w:rFonts w:ascii="仿宋" w:hAnsi="仿宋"/>
          <w:bCs/>
          <w:kern w:val="0"/>
        </w:rPr>
      </w:pPr>
      <w:r>
        <w:rPr>
          <w:rFonts w:hint="eastAsia" w:ascii="仿宋" w:hAnsi="仿宋" w:cs="仿宋"/>
          <w:b/>
          <w:bCs/>
          <w:color w:val="333333"/>
          <w:kern w:val="0"/>
        </w:rPr>
        <w:t>第十七条</w:t>
      </w:r>
      <w:r>
        <w:rPr>
          <w:rFonts w:hint="eastAsia" w:ascii="仿宋" w:hAnsi="仿宋" w:cs="仿宋"/>
          <w:color w:val="333333"/>
          <w:kern w:val="0"/>
        </w:rPr>
        <w:t xml:space="preserve"> 排水系统应保持排水畅通，便于清洁维护；排水流向应由清洁程度要求高的区域流向清洁程度要求低的区域。排水系统出入口设计合理并有防止污染和虫害侵入的措施。清洁作业区不应设置地漏，防止对生产环境的污染。</w:t>
      </w:r>
    </w:p>
    <w:p>
      <w:pPr>
        <w:widowControl/>
        <w:shd w:val="clear"/>
        <w:spacing w:line="600" w:lineRule="exact"/>
        <w:ind w:firstLine="720"/>
        <w:jc w:val="left"/>
        <w:rPr>
          <w:rFonts w:ascii="仿宋" w:hAnsi="仿宋" w:cs="仿宋"/>
          <w:color w:val="333333"/>
          <w:kern w:val="0"/>
        </w:rPr>
      </w:pPr>
      <w:r>
        <w:rPr>
          <w:rFonts w:hint="eastAsia" w:ascii="仿宋" w:hAnsi="仿宋" w:cs="仿宋"/>
          <w:b/>
          <w:bCs/>
          <w:color w:val="333333"/>
          <w:kern w:val="0"/>
        </w:rPr>
        <w:t xml:space="preserve">第十八条 </w:t>
      </w:r>
      <w:r>
        <w:rPr>
          <w:rFonts w:hint="eastAsia" w:ascii="仿宋" w:hAnsi="仿宋" w:cs="仿宋"/>
          <w:color w:val="333333"/>
          <w:kern w:val="0"/>
        </w:rPr>
        <w:t>企业应配备生产设备和工器具的清洁和消毒用设备、设施、用具，放置在专用场所或区域妥善保管。</w:t>
      </w:r>
    </w:p>
    <w:p>
      <w:pPr>
        <w:shd w:val="clear"/>
        <w:adjustRightInd w:val="0"/>
        <w:snapToGrid w:val="0"/>
        <w:spacing w:line="560" w:lineRule="exact"/>
        <w:ind w:firstLine="780" w:firstLineChars="250"/>
        <w:rPr>
          <w:rFonts w:ascii="仿宋" w:hAnsi="仿宋" w:cs="新宋体"/>
          <w:bCs/>
          <w:color w:val="000000"/>
        </w:rPr>
      </w:pPr>
      <w:r>
        <w:rPr>
          <w:rFonts w:hint="eastAsia" w:ascii="仿宋" w:hAnsi="仿宋" w:cs="仿宋"/>
          <w:b/>
          <w:bCs/>
          <w:color w:val="333333"/>
          <w:kern w:val="0"/>
        </w:rPr>
        <w:t xml:space="preserve">第十九条 </w:t>
      </w:r>
      <w:r>
        <w:rPr>
          <w:rFonts w:hint="eastAsia" w:ascii="仿宋" w:hAnsi="仿宋"/>
          <w:bCs/>
          <w:kern w:val="0"/>
        </w:rPr>
        <w:t>生产加工过程产生的废弃物应使用专用设施存放，</w:t>
      </w:r>
      <w:r>
        <w:rPr>
          <w:rFonts w:ascii="仿宋" w:hAnsi="仿宋"/>
          <w:bCs/>
          <w:kern w:val="0"/>
        </w:rPr>
        <w:t>盛装废弃物的容器不</w:t>
      </w:r>
      <w:r>
        <w:rPr>
          <w:rFonts w:hint="eastAsia" w:ascii="仿宋" w:hAnsi="仿宋"/>
          <w:bCs/>
          <w:kern w:val="0"/>
        </w:rPr>
        <w:t>应</w:t>
      </w:r>
      <w:r>
        <w:rPr>
          <w:rFonts w:ascii="仿宋" w:hAnsi="仿宋"/>
          <w:bCs/>
          <w:kern w:val="0"/>
        </w:rPr>
        <w:t>与盛装产品与原料的容器混用，应有明显标</w:t>
      </w:r>
      <w:r>
        <w:rPr>
          <w:rFonts w:hint="eastAsia" w:ascii="仿宋" w:hAnsi="仿宋"/>
          <w:bCs/>
          <w:kern w:val="0"/>
        </w:rPr>
        <w:t>识</w:t>
      </w:r>
      <w:r>
        <w:rPr>
          <w:rFonts w:ascii="仿宋" w:hAnsi="仿宋"/>
          <w:bCs/>
          <w:kern w:val="0"/>
        </w:rPr>
        <w:t>。</w:t>
      </w:r>
      <w:r>
        <w:rPr>
          <w:rFonts w:hint="eastAsia" w:ascii="仿宋" w:hAnsi="仿宋"/>
          <w:bCs/>
          <w:kern w:val="0"/>
        </w:rPr>
        <w:t>清洁作业区内应设有废弃物专用运送通道。</w:t>
      </w:r>
      <w:r>
        <w:rPr>
          <w:rFonts w:hint="eastAsia" w:ascii="仿宋" w:hAnsi="仿宋" w:cs="新宋体"/>
          <w:bCs/>
          <w:color w:val="000000"/>
        </w:rPr>
        <w:t>废弃物放置场所不应有不良气味或有毒、有害气体逸出；废弃物应定期清除，易腐败、变质的废弃物应及时清除。</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b/>
          <w:bCs/>
          <w:color w:val="333333"/>
          <w:kern w:val="0"/>
        </w:rPr>
        <w:t>第二十条</w:t>
      </w:r>
      <w:r>
        <w:rPr>
          <w:rFonts w:ascii="仿宋" w:hAnsi="仿宋" w:cs="仿宋"/>
          <w:b/>
          <w:bCs/>
          <w:color w:val="333333"/>
          <w:kern w:val="0"/>
        </w:rPr>
        <w:t xml:space="preserve"> </w:t>
      </w:r>
      <w:r>
        <w:rPr>
          <w:rFonts w:hint="eastAsia" w:ascii="仿宋" w:hAnsi="仿宋" w:cs="仿宋"/>
          <w:color w:val="333333"/>
          <w:kern w:val="0"/>
        </w:rPr>
        <w:t>准清洁作业区更衣室应设在生产作业区入口处，内部应设置足够数量的非手动式洗手、干手、消毒设施,并在临近洗手设施的显著位置标示洗手消毒程序。清洁作业区的入口应设置二次更衣室，并设置阻拦式鞋柜、洁净服独立存放及消毒设施等。</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b/>
          <w:bCs/>
          <w:color w:val="333333"/>
          <w:kern w:val="0"/>
        </w:rPr>
        <w:t>第二十一条</w:t>
      </w:r>
      <w:r>
        <w:rPr>
          <w:rFonts w:hint="eastAsia" w:ascii="仿宋" w:hAnsi="仿宋" w:cs="仿宋"/>
          <w:color w:val="333333"/>
          <w:kern w:val="0"/>
        </w:rPr>
        <w:t xml:space="preserve"> 进入清洁作业区的人员，工作服应为连体式或一次性工作服，并配备帽子、口罩和工作鞋。准清洁作业区、一般作业区工作服应符合相应区域卫生要求，并配备帽子和工作鞋。</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b/>
          <w:bCs/>
          <w:color w:val="333333"/>
          <w:kern w:val="0"/>
        </w:rPr>
        <w:t>第二十二条</w:t>
      </w:r>
      <w:r>
        <w:rPr>
          <w:rFonts w:hint="eastAsia" w:ascii="仿宋" w:hAnsi="仿宋" w:cs="仿宋"/>
          <w:color w:val="333333"/>
          <w:kern w:val="0"/>
        </w:rPr>
        <w:t xml:space="preserve"> 根据需要设置的卫生间应保持清洁，有洗手、消毒设施，不得与生产、包装或储存等区域直接连通，且卫生间的门、窗不得与生产作业区域入口相对。 </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b/>
          <w:bCs/>
          <w:color w:val="333333"/>
          <w:kern w:val="0"/>
        </w:rPr>
        <w:t>第二十三条</w:t>
      </w:r>
      <w:r>
        <w:rPr>
          <w:rFonts w:hint="eastAsia" w:ascii="仿宋" w:hAnsi="仿宋" w:cs="仿宋"/>
          <w:color w:val="333333"/>
          <w:kern w:val="0"/>
        </w:rPr>
        <w:t xml:space="preserve"> 企业应根据需要在生产车间配备空气调节和净化系统，使温度、相对湿度与生产工艺相适应，保证空气由清洁度要求高的区域流向清洁度要求低的区域。</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b/>
          <w:bCs/>
          <w:color w:val="333333"/>
          <w:kern w:val="0"/>
        </w:rPr>
        <w:t>第二十四条</w:t>
      </w:r>
      <w:r>
        <w:rPr>
          <w:rFonts w:hint="eastAsia" w:ascii="仿宋" w:hAnsi="仿宋" w:cs="仿宋"/>
          <w:color w:val="333333"/>
          <w:kern w:val="0"/>
        </w:rPr>
        <w:t xml:space="preserve"> 清洁作业区的供风系统应独立设置，采用初效、中效、高效过滤器三级过滤，保持清洁作业区室内正压。</w:t>
      </w:r>
    </w:p>
    <w:p>
      <w:pPr>
        <w:shd w:val="clear"/>
        <w:spacing w:line="600" w:lineRule="exact"/>
        <w:ind w:firstLine="624" w:firstLineChars="200"/>
        <w:rPr>
          <w:rFonts w:ascii="仿宋" w:hAnsi="仿宋" w:cs="仿宋"/>
          <w:color w:val="333333"/>
          <w:kern w:val="0"/>
        </w:rPr>
      </w:pPr>
      <w:r>
        <w:rPr>
          <w:rFonts w:hint="eastAsia" w:ascii="仿宋" w:hAnsi="仿宋" w:cs="仿宋"/>
          <w:b/>
          <w:bCs/>
          <w:color w:val="333333"/>
          <w:kern w:val="0"/>
        </w:rPr>
        <w:t>第二十五条</w:t>
      </w:r>
      <w:r>
        <w:rPr>
          <w:rFonts w:hint="eastAsia" w:ascii="仿宋" w:hAnsi="仿宋" w:cs="仿宋"/>
          <w:color w:val="333333"/>
          <w:kern w:val="0"/>
        </w:rPr>
        <w:t xml:space="preserve"> 厂房内应有充足的自然采光或人工照明设施。质量</w:t>
      </w:r>
      <w:r>
        <w:rPr>
          <w:rFonts w:ascii="仿宋" w:hAnsi="仿宋" w:cs="仿宋"/>
          <w:color w:val="333333"/>
          <w:kern w:val="0"/>
        </w:rPr>
        <w:t>监控</w:t>
      </w:r>
      <w:r>
        <w:rPr>
          <w:rFonts w:hint="eastAsia" w:ascii="仿宋" w:hAnsi="仿宋" w:cs="仿宋"/>
          <w:color w:val="333333"/>
          <w:kern w:val="0"/>
        </w:rPr>
        <w:t>场所</w:t>
      </w:r>
      <w:r>
        <w:rPr>
          <w:rFonts w:ascii="仿宋" w:hAnsi="仿宋" w:cs="仿宋"/>
          <w:color w:val="333333"/>
          <w:kern w:val="0"/>
        </w:rPr>
        <w:t>工作面的混合照度</w:t>
      </w:r>
      <w:r>
        <w:rPr>
          <w:rFonts w:hint="eastAsia" w:ascii="仿宋" w:hAnsi="仿宋" w:cs="仿宋"/>
          <w:color w:val="333333"/>
          <w:kern w:val="0"/>
        </w:rPr>
        <w:t>不宜</w:t>
      </w:r>
      <w:r>
        <w:rPr>
          <w:rFonts w:ascii="仿宋" w:hAnsi="仿宋" w:cs="仿宋"/>
          <w:color w:val="333333"/>
          <w:kern w:val="0"/>
        </w:rPr>
        <w:t>低于</w:t>
      </w:r>
      <w:r>
        <w:rPr>
          <w:rFonts w:hint="eastAsia" w:ascii="仿宋" w:hAnsi="仿宋" w:cs="仿宋"/>
          <w:color w:val="333333"/>
          <w:kern w:val="0"/>
        </w:rPr>
        <w:t>540</w:t>
      </w:r>
      <w:r>
        <w:rPr>
          <w:rFonts w:ascii="仿宋" w:hAnsi="仿宋" w:cs="仿宋"/>
          <w:color w:val="333333"/>
          <w:kern w:val="0"/>
        </w:rPr>
        <w:t xml:space="preserve"> lx</w:t>
      </w:r>
      <w:r>
        <w:rPr>
          <w:rFonts w:hint="eastAsia" w:ascii="仿宋" w:hAnsi="仿宋" w:cs="仿宋"/>
          <w:color w:val="333333"/>
          <w:kern w:val="0"/>
        </w:rPr>
        <w:t>，加工</w:t>
      </w:r>
      <w:r>
        <w:rPr>
          <w:rFonts w:ascii="仿宋" w:hAnsi="仿宋" w:cs="仿宋"/>
          <w:color w:val="333333"/>
          <w:kern w:val="0"/>
        </w:rPr>
        <w:t>场所工作面不宜低于22</w:t>
      </w:r>
      <w:r>
        <w:rPr>
          <w:rFonts w:hint="eastAsia" w:ascii="仿宋" w:hAnsi="仿宋" w:cs="仿宋"/>
          <w:color w:val="333333"/>
          <w:kern w:val="0"/>
        </w:rPr>
        <w:t>0</w:t>
      </w:r>
      <w:r>
        <w:rPr>
          <w:rFonts w:ascii="仿宋" w:hAnsi="仿宋" w:cs="仿宋"/>
          <w:color w:val="333333"/>
          <w:kern w:val="0"/>
        </w:rPr>
        <w:t xml:space="preserve"> lx</w:t>
      </w:r>
      <w:r>
        <w:rPr>
          <w:rFonts w:hint="eastAsia" w:ascii="仿宋" w:hAnsi="仿宋" w:cs="仿宋"/>
          <w:color w:val="333333"/>
          <w:kern w:val="0"/>
        </w:rPr>
        <w:t>，其他</w:t>
      </w:r>
      <w:r>
        <w:rPr>
          <w:rFonts w:ascii="仿宋" w:hAnsi="仿宋" w:cs="仿宋"/>
          <w:color w:val="333333"/>
          <w:kern w:val="0"/>
        </w:rPr>
        <w:t>场所不宜低于</w:t>
      </w:r>
      <w:r>
        <w:rPr>
          <w:rFonts w:hint="eastAsia" w:ascii="仿宋" w:hAnsi="仿宋" w:cs="仿宋"/>
          <w:color w:val="333333"/>
          <w:kern w:val="0"/>
        </w:rPr>
        <w:t>110</w:t>
      </w:r>
      <w:r>
        <w:rPr>
          <w:rFonts w:ascii="仿宋" w:hAnsi="仿宋" w:cs="仿宋"/>
          <w:color w:val="333333"/>
          <w:kern w:val="0"/>
        </w:rPr>
        <w:t xml:space="preserve"> lx</w:t>
      </w:r>
      <w:r>
        <w:rPr>
          <w:rFonts w:hint="eastAsia" w:ascii="仿宋" w:hAnsi="仿宋" w:cs="仿宋"/>
          <w:color w:val="333333"/>
          <w:kern w:val="0"/>
        </w:rPr>
        <w:t>，对光</w:t>
      </w:r>
      <w:r>
        <w:rPr>
          <w:rFonts w:ascii="仿宋" w:hAnsi="仿宋" w:cs="仿宋"/>
          <w:color w:val="333333"/>
          <w:kern w:val="0"/>
        </w:rPr>
        <w:t>敏感测试区域除外。</w:t>
      </w:r>
      <w:r>
        <w:rPr>
          <w:rFonts w:hint="eastAsia" w:ascii="仿宋" w:hAnsi="仿宋" w:cs="仿宋"/>
          <w:color w:val="333333"/>
          <w:kern w:val="0"/>
        </w:rPr>
        <w:t>光源</w:t>
      </w:r>
      <w:r>
        <w:rPr>
          <w:rFonts w:ascii="仿宋" w:hAnsi="仿宋" w:cs="仿宋"/>
          <w:color w:val="333333"/>
          <w:kern w:val="0"/>
        </w:rPr>
        <w:t>不应改变食品的</w:t>
      </w:r>
      <w:r>
        <w:rPr>
          <w:rFonts w:hint="eastAsia" w:ascii="仿宋" w:hAnsi="仿宋" w:cs="仿宋"/>
          <w:color w:val="333333"/>
          <w:kern w:val="0"/>
        </w:rPr>
        <w:t>颜色</w:t>
      </w:r>
      <w:r>
        <w:rPr>
          <w:rFonts w:ascii="仿宋" w:hAnsi="仿宋" w:cs="仿宋"/>
          <w:color w:val="333333"/>
          <w:kern w:val="0"/>
        </w:rPr>
        <w:t>。</w:t>
      </w:r>
      <w:r>
        <w:rPr>
          <w:rFonts w:hint="eastAsia" w:ascii="仿宋" w:hAnsi="仿宋" w:cs="仿宋"/>
          <w:color w:val="333333"/>
          <w:kern w:val="0"/>
        </w:rPr>
        <w:t>如需在暴露食品和原料的正上方安装照明设施，应使用安全型照明设施或采取防护措施，以防止破裂</w:t>
      </w:r>
      <w:r>
        <w:rPr>
          <w:rFonts w:ascii="仿宋" w:hAnsi="仿宋" w:cs="仿宋"/>
          <w:color w:val="333333"/>
          <w:kern w:val="0"/>
        </w:rPr>
        <w:t>污染食品</w:t>
      </w:r>
      <w:r>
        <w:rPr>
          <w:rFonts w:hint="eastAsia" w:ascii="仿宋" w:hAnsi="仿宋" w:cs="仿宋"/>
          <w:color w:val="333333"/>
          <w:kern w:val="0"/>
        </w:rPr>
        <w:t>。</w:t>
      </w:r>
    </w:p>
    <w:p>
      <w:pPr>
        <w:widowControl/>
        <w:shd w:val="clear"/>
        <w:spacing w:line="600" w:lineRule="exact"/>
        <w:ind w:firstLine="720"/>
        <w:jc w:val="left"/>
        <w:rPr>
          <w:rFonts w:ascii="仿宋" w:hAnsi="仿宋" w:cs="仿宋"/>
          <w:color w:val="333333"/>
          <w:kern w:val="0"/>
        </w:rPr>
      </w:pPr>
      <w:r>
        <w:rPr>
          <w:rFonts w:hint="eastAsia" w:ascii="仿宋" w:hAnsi="仿宋" w:cs="仿宋"/>
          <w:b/>
          <w:bCs/>
          <w:color w:val="333333"/>
          <w:kern w:val="0"/>
        </w:rPr>
        <w:t>第二十六条</w:t>
      </w:r>
      <w:r>
        <w:rPr>
          <w:rFonts w:ascii="仿宋" w:hAnsi="仿宋" w:cs="仿宋"/>
          <w:b/>
          <w:bCs/>
          <w:color w:val="333333"/>
          <w:kern w:val="0"/>
        </w:rPr>
        <w:t xml:space="preserve"> </w:t>
      </w:r>
      <w:r>
        <w:rPr>
          <w:rFonts w:hint="eastAsia" w:ascii="仿宋" w:hAnsi="仿宋" w:cs="仿宋"/>
          <w:color w:val="333333"/>
          <w:kern w:val="0"/>
        </w:rPr>
        <w:t>企业自行检验的，应具备与所检项目适应的检验室和检验能力。检验室应当布局合理，检验设备的数量、性能、精度等应当满足相应的检验要求；检验仪器设备应按期检定和校准。</w:t>
      </w:r>
    </w:p>
    <w:p>
      <w:pPr>
        <w:widowControl/>
        <w:shd w:val="clear"/>
        <w:spacing w:line="600" w:lineRule="exact"/>
        <w:ind w:firstLine="720"/>
        <w:jc w:val="left"/>
        <w:rPr>
          <w:rFonts w:ascii="仿宋" w:hAnsi="仿宋" w:cs="仿宋"/>
          <w:b/>
          <w:bCs/>
          <w:color w:val="333333"/>
          <w:kern w:val="0"/>
        </w:rPr>
      </w:pPr>
    </w:p>
    <w:p>
      <w:pPr>
        <w:widowControl/>
        <w:shd w:val="clear"/>
        <w:spacing w:line="600" w:lineRule="exact"/>
        <w:jc w:val="center"/>
        <w:rPr>
          <w:rFonts w:ascii="黑体" w:hAnsi="黑体" w:eastAsia="黑体" w:cs="黑体"/>
          <w:color w:val="333333"/>
          <w:kern w:val="0"/>
        </w:rPr>
      </w:pPr>
      <w:r>
        <w:rPr>
          <w:rFonts w:hint="eastAsia" w:ascii="黑体" w:hAnsi="黑体" w:eastAsia="黑体" w:cs="黑体"/>
          <w:color w:val="333333"/>
          <w:kern w:val="0"/>
        </w:rPr>
        <w:t>第四章 设备布局和工艺流程</w:t>
      </w:r>
    </w:p>
    <w:p>
      <w:pPr>
        <w:widowControl/>
        <w:shd w:val="clear"/>
        <w:spacing w:line="600" w:lineRule="exact"/>
        <w:jc w:val="center"/>
        <w:rPr>
          <w:rFonts w:ascii="黑体" w:hAnsi="黑体" w:eastAsia="黑体" w:cs="黑体"/>
          <w:color w:val="333333"/>
          <w:kern w:val="0"/>
        </w:rPr>
      </w:pP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b/>
          <w:bCs/>
          <w:color w:val="333333"/>
          <w:kern w:val="0"/>
        </w:rPr>
        <w:t>第二十七条</w:t>
      </w:r>
      <w:r>
        <w:rPr>
          <w:rFonts w:ascii="仿宋" w:hAnsi="仿宋" w:cs="仿宋"/>
          <w:color w:val="333333"/>
          <w:kern w:val="0"/>
        </w:rPr>
        <w:t xml:space="preserve"> </w:t>
      </w:r>
      <w:r>
        <w:rPr>
          <w:rFonts w:hint="eastAsia" w:ascii="仿宋" w:hAnsi="仿宋" w:cs="仿宋"/>
          <w:color w:val="333333"/>
          <w:kern w:val="0"/>
        </w:rPr>
        <w:t xml:space="preserve">生产设备的布局、安装和维护必须符合工艺需要，便于操作、清洁、维护和消毒。停用设备应有明显标志，其清洁、消毒应符合相应生产作业区洁净度的要求，防止其对环境造成污染。 </w:t>
      </w:r>
    </w:p>
    <w:p>
      <w:pPr>
        <w:shd w:val="clear"/>
        <w:spacing w:line="600" w:lineRule="exact"/>
        <w:ind w:firstLine="624" w:firstLineChars="200"/>
        <w:rPr>
          <w:rFonts w:ascii="仿宋" w:hAnsi="仿宋" w:cs="仿宋"/>
          <w:color w:val="333333"/>
          <w:kern w:val="0"/>
        </w:rPr>
      </w:pPr>
      <w:r>
        <w:rPr>
          <w:rFonts w:hint="eastAsia" w:ascii="仿宋" w:hAnsi="仿宋" w:cs="仿宋"/>
          <w:b/>
        </w:rPr>
        <w:t>第二十八条</w:t>
      </w:r>
      <w:r>
        <w:rPr>
          <w:rFonts w:ascii="仿宋" w:hAnsi="仿宋" w:cs="仿宋"/>
          <w:b/>
        </w:rPr>
        <w:t xml:space="preserve"> </w:t>
      </w:r>
      <w:r>
        <w:rPr>
          <w:rFonts w:hint="eastAsia" w:ascii="仿宋" w:hAnsi="仿宋" w:cs="仿宋"/>
          <w:color w:val="333333"/>
          <w:kern w:val="0"/>
        </w:rPr>
        <w:t>工艺流程一般包括：原</w:t>
      </w:r>
      <w:r>
        <w:rPr>
          <w:rFonts w:hint="eastAsia" w:ascii="仿宋" w:hAnsi="仿宋" w:cs="仿宋"/>
          <w:color w:val="333333"/>
          <w:kern w:val="0"/>
          <w:lang w:eastAsia="zh-CN"/>
        </w:rPr>
        <w:t>辅料预处理</w:t>
      </w:r>
      <w:r>
        <w:rPr>
          <w:rFonts w:hint="eastAsia" w:ascii="仿宋" w:hAnsi="仿宋" w:cs="仿宋"/>
          <w:color w:val="333333"/>
          <w:kern w:val="0"/>
        </w:rPr>
        <w:t>→配料→干燥或不干燥→压片成型→成品包装→储存。</w:t>
      </w:r>
    </w:p>
    <w:p>
      <w:pPr>
        <w:widowControl/>
        <w:shd w:val="clear"/>
        <w:spacing w:line="600" w:lineRule="exact"/>
        <w:ind w:firstLine="624" w:firstLineChars="200"/>
        <w:jc w:val="left"/>
        <w:rPr>
          <w:rFonts w:ascii="仿宋" w:hAnsi="仿宋" w:cs="仿宋"/>
          <w:color w:val="333333"/>
          <w:kern w:val="0"/>
        </w:rPr>
      </w:pPr>
      <w:r>
        <w:rPr>
          <w:rFonts w:hint="eastAsia" w:ascii="仿宋" w:hAnsi="仿宋" w:cs="仿宋"/>
          <w:color w:val="333333"/>
          <w:kern w:val="0"/>
        </w:rPr>
        <w:t>具体产品按企业实际工艺流程生产，但其工艺流程必须科学合理、符合相关规定。</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b/>
          <w:bCs/>
          <w:color w:val="333333"/>
          <w:kern w:val="0"/>
        </w:rPr>
        <w:t>第二十九条</w:t>
      </w:r>
      <w:r>
        <w:rPr>
          <w:rFonts w:hint="eastAsia" w:ascii="仿宋" w:hAnsi="仿宋" w:cs="仿宋"/>
          <w:color w:val="333333"/>
          <w:kern w:val="0"/>
        </w:rPr>
        <w:t xml:space="preserve"> 企业应建立工艺文件、操作规程等生产技术文件，技术文件与实际操作应保持一致。</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b/>
          <w:bCs/>
          <w:color w:val="333333"/>
          <w:kern w:val="0"/>
        </w:rPr>
        <w:t>第三十条</w:t>
      </w:r>
      <w:r>
        <w:rPr>
          <w:rFonts w:hint="eastAsia" w:ascii="仿宋" w:hAnsi="仿宋" w:cs="仿宋"/>
          <w:color w:val="333333"/>
          <w:kern w:val="0"/>
        </w:rPr>
        <w:t xml:space="preserve"> 新增或调整产品工艺流程及关键设备时，应进行必要性论证和安全性确认，保证产品质量符合要求。</w:t>
      </w:r>
    </w:p>
    <w:p>
      <w:pPr>
        <w:widowControl/>
        <w:shd w:val="clear"/>
        <w:spacing w:line="600" w:lineRule="exact"/>
        <w:ind w:firstLine="624" w:firstLineChars="200"/>
        <w:jc w:val="left"/>
        <w:rPr>
          <w:rFonts w:ascii="仿宋" w:hAnsi="仿宋" w:cs="仿宋"/>
          <w:color w:val="333333"/>
          <w:kern w:val="0"/>
        </w:rPr>
      </w:pPr>
      <w:r>
        <w:rPr>
          <w:rFonts w:hint="eastAsia" w:ascii="仿宋" w:hAnsi="仿宋" w:cs="仿宋"/>
          <w:b/>
          <w:bCs/>
          <w:color w:val="333333"/>
          <w:kern w:val="0"/>
        </w:rPr>
        <w:t xml:space="preserve">第三十一条 </w:t>
      </w:r>
      <w:r>
        <w:rPr>
          <w:rFonts w:hint="eastAsia" w:ascii="仿宋" w:hAnsi="仿宋" w:cs="仿宋"/>
          <w:color w:val="333333"/>
          <w:kern w:val="0"/>
        </w:rPr>
        <w:t>通过危害分析方法明确影响产品质量的关键工序或关键控制点，并制定操作规程或作业指导书。</w:t>
      </w:r>
    </w:p>
    <w:p>
      <w:pPr>
        <w:widowControl/>
        <w:shd w:val="clear"/>
        <w:spacing w:line="600" w:lineRule="exact"/>
        <w:ind w:firstLine="624" w:firstLineChars="200"/>
        <w:jc w:val="left"/>
        <w:rPr>
          <w:rFonts w:ascii="仿宋" w:hAnsi="仿宋" w:cs="仿宋"/>
          <w:color w:val="333333"/>
          <w:kern w:val="0"/>
        </w:rPr>
      </w:pPr>
    </w:p>
    <w:p>
      <w:pPr>
        <w:widowControl/>
        <w:shd w:val="clear"/>
        <w:spacing w:line="600" w:lineRule="exact"/>
        <w:jc w:val="center"/>
        <w:rPr>
          <w:rFonts w:ascii="黑体" w:hAnsi="黑体" w:eastAsia="黑体" w:cs="黑体"/>
          <w:color w:val="333333"/>
          <w:kern w:val="0"/>
        </w:rPr>
      </w:pPr>
      <w:r>
        <w:rPr>
          <w:rFonts w:hint="eastAsia" w:ascii="黑体" w:hAnsi="黑体" w:eastAsia="黑体" w:cs="黑体"/>
          <w:color w:val="333333"/>
          <w:kern w:val="0"/>
        </w:rPr>
        <w:t>第五章 人员管理</w:t>
      </w:r>
    </w:p>
    <w:p>
      <w:pPr>
        <w:widowControl/>
        <w:shd w:val="clear"/>
        <w:spacing w:line="600" w:lineRule="exact"/>
        <w:jc w:val="center"/>
        <w:rPr>
          <w:rFonts w:ascii="黑体" w:hAnsi="黑体" w:eastAsia="黑体" w:cs="黑体"/>
          <w:color w:val="333333"/>
          <w:kern w:val="0"/>
        </w:rPr>
      </w:pP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b/>
          <w:bCs/>
          <w:color w:val="333333"/>
          <w:kern w:val="0"/>
        </w:rPr>
        <w:t>第三十二条</w:t>
      </w:r>
      <w:r>
        <w:rPr>
          <w:rFonts w:ascii="仿宋" w:hAnsi="仿宋" w:cs="仿宋"/>
          <w:color w:val="333333"/>
          <w:kern w:val="0"/>
        </w:rPr>
        <w:t xml:space="preserve"> </w:t>
      </w:r>
      <w:r>
        <w:rPr>
          <w:rFonts w:hint="eastAsia" w:ascii="仿宋" w:hAnsi="仿宋" w:cs="仿宋"/>
          <w:color w:val="333333"/>
          <w:kern w:val="0"/>
        </w:rPr>
        <w:t>企业应配备与生产能力和生产规模相适应的食品安全管理负责人、食品安全管理人员、技术人员（包括生产及检验人员等）、生产操作人员等，并符合下列要求：</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color w:val="333333"/>
          <w:kern w:val="0"/>
        </w:rPr>
        <w:t>（一）应设置独立的质量安全管理部门，配备专职的食品安全管理人员，负责建立、实施和持续改进食品安全管理体系。</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color w:val="333333"/>
          <w:kern w:val="0"/>
        </w:rPr>
        <w:t>（二）应明确企业负责人、食品安全负责人和食品安全管理人员的岗位的职责，并应能履行其相应的责任和义务。</w:t>
      </w:r>
    </w:p>
    <w:p>
      <w:pPr>
        <w:shd w:val="clear"/>
        <w:spacing w:line="600" w:lineRule="exact"/>
        <w:rPr>
          <w:rFonts w:ascii="仿宋" w:hAnsi="仿宋" w:cs="仿宋"/>
          <w:color w:val="333333"/>
          <w:kern w:val="0"/>
        </w:rPr>
      </w:pPr>
      <w:r>
        <w:rPr>
          <w:rFonts w:hint="eastAsia" w:ascii="仿宋" w:hAnsi="仿宋" w:cs="仿宋"/>
          <w:color w:val="333333"/>
          <w:kern w:val="0"/>
        </w:rPr>
        <w:t xml:space="preserve">    （三）企业负责人是食品安全第一责任人，应熟悉食品安全有关法律法规和乳制品质量安全知识，对本企业的食品安全承担法律责任和义务。</w:t>
      </w:r>
    </w:p>
    <w:p>
      <w:pPr>
        <w:pStyle w:val="19"/>
        <w:shd w:val="clear"/>
        <w:adjustRightInd w:val="0"/>
        <w:snapToGrid w:val="0"/>
        <w:spacing w:line="600" w:lineRule="exact"/>
        <w:ind w:firstLine="350" w:firstLineChars="112"/>
        <w:rPr>
          <w:rFonts w:ascii="仿宋" w:hAnsi="仿宋" w:cs="仿宋"/>
          <w:color w:val="333333"/>
          <w:kern w:val="0"/>
        </w:rPr>
      </w:pPr>
      <w:r>
        <w:rPr>
          <w:rFonts w:hint="eastAsia" w:ascii="仿宋" w:hAnsi="仿宋" w:cs="仿宋"/>
          <w:color w:val="333333"/>
          <w:kern w:val="0"/>
        </w:rPr>
        <w:t xml:space="preserve">  （四）食品安全负责人应具有食品及相关专业本科以上学历且3年以上相关工作经历，经专业理论和食品安全知识培训合格，掌握食品安全有关的法律法规和乳制品的质量安全知识。食品安全负责人应当是生产企业法定代表人或经授权的负责人，应独立行使职权，承担奶片食品安全管理和出厂放行责任，其职责不得委托他人，特殊情况需进行授权。</w:t>
      </w:r>
    </w:p>
    <w:p>
      <w:pPr>
        <w:shd w:val="clear"/>
        <w:spacing w:line="600" w:lineRule="exact"/>
        <w:rPr>
          <w:rFonts w:ascii="仿宋" w:hAnsi="仿宋" w:cs="仿宋"/>
          <w:color w:val="333333"/>
          <w:kern w:val="0"/>
        </w:rPr>
      </w:pPr>
      <w:r>
        <w:rPr>
          <w:rFonts w:hint="eastAsia" w:ascii="仿宋" w:hAnsi="仿宋" w:cs="仿宋"/>
          <w:color w:val="333333"/>
          <w:kern w:val="0"/>
        </w:rPr>
        <w:t xml:space="preserve">   </w:t>
      </w:r>
      <w:r>
        <w:rPr>
          <w:rFonts w:ascii="仿宋" w:hAnsi="仿宋" w:cs="仿宋"/>
          <w:color w:val="333333"/>
          <w:kern w:val="0"/>
        </w:rPr>
        <w:t xml:space="preserve"> </w:t>
      </w:r>
      <w:r>
        <w:rPr>
          <w:rFonts w:hint="eastAsia" w:ascii="仿宋" w:hAnsi="仿宋" w:cs="仿宋"/>
          <w:color w:val="333333"/>
          <w:kern w:val="0"/>
        </w:rPr>
        <w:t>（五）食品安全管理人员应有相关专业专科以上学历，或具有3年以上的乳制品生产工作经历或食品安全管理经验，应掌握乳制品产品涉及的法律法规及标准规定，履行食品安全控制和食品安全保证相应的职责。</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color w:val="333333"/>
          <w:kern w:val="0"/>
        </w:rPr>
        <w:t>（六）生产技术人员应具有食品相关专业专科以上学历或3年以上相关工作经验，掌握乳制品生产专业知识。</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color w:val="333333"/>
          <w:kern w:val="0"/>
        </w:rPr>
        <w:t>（七）从事检验人员应具有食品、化学或相关专业专科以上的学历，或具有1年以上食品检验工作经历。实验室负责人应具有食品、化学或相关专业本科以上学历且有3年以上相关工作经历。</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color w:val="333333"/>
          <w:kern w:val="0"/>
        </w:rPr>
        <w:t>（八）生产操作人员的数量应适应企业规模、工艺、设备要求。关键控制环节操作人员应具有一定的技术经验，掌握生产工艺操作规程，能熟练操作生产设备。特殊岗位的生产操作人员资格应符合有关规定。</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b/>
          <w:bCs/>
          <w:color w:val="333333"/>
          <w:kern w:val="0"/>
        </w:rPr>
        <w:t>第三十三条</w:t>
      </w:r>
      <w:r>
        <w:rPr>
          <w:rFonts w:hint="eastAsia" w:ascii="仿宋" w:hAnsi="仿宋" w:cs="仿宋"/>
          <w:color w:val="333333"/>
          <w:kern w:val="0"/>
        </w:rPr>
        <w:t xml:space="preserve"> 培训管理工作由指定部门或专人负责，负责建立培训管理制度并组织实施。</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color w:val="333333"/>
          <w:kern w:val="0"/>
        </w:rPr>
        <w:t>企业应当制定新员工上岗培训计划、员工定期培训计划、培训方案及考核方法。培训内容应与岗位要求相适应，至少应包括工艺规程、食品安全知识等。检验人员培训计划应包括专业知识、专业技能以及有关生物、化学安全和防护、救护知识等的培训。</w:t>
      </w:r>
    </w:p>
    <w:p>
      <w:pPr>
        <w:shd w:val="clear"/>
        <w:spacing w:line="600" w:lineRule="exact"/>
        <w:ind w:firstLine="624" w:firstLineChars="200"/>
        <w:rPr>
          <w:rFonts w:ascii="仿宋" w:hAnsi="仿宋" w:cs="仿宋"/>
          <w:color w:val="333333"/>
          <w:kern w:val="0"/>
        </w:rPr>
      </w:pPr>
      <w:r>
        <w:rPr>
          <w:rFonts w:hint="eastAsia" w:ascii="仿宋" w:hAnsi="仿宋" w:cs="仿宋"/>
          <w:color w:val="333333"/>
          <w:kern w:val="0"/>
        </w:rPr>
        <w:t>食品安全管理人员、食品生产技术人员、生产操作人员和检验人员等应经培训考核合格后上岗，检验人员还应进行授权。培训计划和方案应经企业负责人或食品安全负责人审核批准，培训记录应当予以保存，培训效果应当定期考核评估。</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b/>
          <w:bCs/>
          <w:color w:val="333333"/>
          <w:kern w:val="0"/>
        </w:rPr>
        <w:t>第三十四条</w:t>
      </w:r>
      <w:r>
        <w:rPr>
          <w:rFonts w:hint="eastAsia" w:ascii="仿宋" w:hAnsi="仿宋" w:cs="仿宋"/>
          <w:color w:val="333333"/>
          <w:kern w:val="0"/>
        </w:rPr>
        <w:t xml:space="preserve"> 企业应建立从业人员健康管理制度，从事接触直接入口食品工作的食品生产经营人员应当每年进行健康检查，取得健康证明后方可上岗工作。建立人员健康检查记录，保证食品加工人员患有法律法规规定的有碍食品安全的疾病时，应调整到其他不影响食品安全的工作岗位。</w:t>
      </w:r>
    </w:p>
    <w:p>
      <w:pPr>
        <w:shd w:val="clear"/>
        <w:adjustRightInd w:val="0"/>
        <w:snapToGrid w:val="0"/>
        <w:spacing w:line="600" w:lineRule="exact"/>
        <w:ind w:firstLine="624" w:firstLineChars="200"/>
        <w:rPr>
          <w:rFonts w:ascii="仿宋" w:hAnsi="仿宋" w:cs="仿宋"/>
          <w:color w:val="333333"/>
          <w:kern w:val="0"/>
        </w:rPr>
      </w:pPr>
    </w:p>
    <w:p>
      <w:pPr>
        <w:widowControl/>
        <w:shd w:val="clear"/>
        <w:spacing w:line="600" w:lineRule="exact"/>
        <w:jc w:val="center"/>
        <w:rPr>
          <w:rFonts w:ascii="黑体" w:hAnsi="黑体" w:eastAsia="黑体" w:cs="黑体"/>
          <w:color w:val="333333"/>
          <w:kern w:val="0"/>
        </w:rPr>
      </w:pPr>
      <w:r>
        <w:rPr>
          <w:rFonts w:hint="eastAsia" w:ascii="黑体" w:hAnsi="黑体" w:eastAsia="黑体" w:cs="黑体"/>
          <w:color w:val="333333"/>
          <w:kern w:val="0"/>
        </w:rPr>
        <w:t>第六章 管理制度</w:t>
      </w:r>
    </w:p>
    <w:p>
      <w:pPr>
        <w:widowControl/>
        <w:shd w:val="clear"/>
        <w:spacing w:line="600" w:lineRule="exact"/>
        <w:jc w:val="center"/>
        <w:rPr>
          <w:rFonts w:ascii="黑体" w:hAnsi="黑体" w:eastAsia="黑体" w:cs="黑体"/>
          <w:color w:val="333333"/>
          <w:kern w:val="0"/>
        </w:rPr>
      </w:pP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b/>
          <w:bCs/>
          <w:color w:val="333333"/>
          <w:kern w:val="0"/>
        </w:rPr>
        <w:t>第三十五条</w:t>
      </w:r>
      <w:r>
        <w:rPr>
          <w:rFonts w:ascii="Calibri" w:hAnsi="Calibri" w:cs="Calibri"/>
          <w:color w:val="333333"/>
          <w:kern w:val="0"/>
        </w:rPr>
        <w:t xml:space="preserve"> </w:t>
      </w:r>
      <w:r>
        <w:rPr>
          <w:rFonts w:hint="eastAsia" w:ascii="仿宋" w:hAnsi="仿宋" w:cs="仿宋"/>
          <w:color w:val="333333"/>
          <w:kern w:val="0"/>
        </w:rPr>
        <w:t>企业应当建立并实施食品安全管理制度，包括原料、食品添加剂和包装材料的采购、使用及产品生产、包装、检验、放行和销售等所有环节，并确保管理职责明确。</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b/>
          <w:bCs/>
          <w:color w:val="333333"/>
          <w:kern w:val="0"/>
        </w:rPr>
        <w:t>第三十六条</w:t>
      </w:r>
      <w:r>
        <w:rPr>
          <w:rFonts w:ascii="仿宋" w:hAnsi="仿宋" w:cs="仿宋"/>
          <w:color w:val="333333"/>
          <w:kern w:val="0"/>
        </w:rPr>
        <w:t xml:space="preserve"> </w:t>
      </w:r>
      <w:r>
        <w:rPr>
          <w:rFonts w:hint="eastAsia" w:ascii="仿宋" w:hAnsi="仿宋" w:cs="仿宋"/>
          <w:color w:val="333333"/>
          <w:kern w:val="0"/>
        </w:rPr>
        <w:t>企业应制定原辅料供应商审核制度，定期对供应商进行审核。原辅料供应商的确定及变更应进行食品安全评估，并经企业食品安全管理部门批准后方可采购。应与主要原辅料供应商签订食品安全协议，明确双方所承担的责任。</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color w:val="333333"/>
          <w:kern w:val="0"/>
        </w:rPr>
        <w:t>对国内原辅料供应商的审核至少应包括：供应商的资质证明文件、质量标准、检验报告等。采用进口原辅料的，应审核境外出口商或者代理商包括进口商的备案资质文件、境外生产企业注册文件、原料质量标准、产品出厂的检验报告、海关出具的相关证明等。</w:t>
      </w:r>
    </w:p>
    <w:p>
      <w:pPr>
        <w:pStyle w:val="19"/>
        <w:shd w:val="clear"/>
        <w:spacing w:line="600" w:lineRule="exact"/>
        <w:ind w:firstLine="630" w:firstLineChars="0"/>
        <w:rPr>
          <w:rFonts w:ascii="仿宋" w:hAnsi="仿宋" w:cs="仿宋"/>
          <w:color w:val="333333"/>
          <w:kern w:val="0"/>
        </w:rPr>
      </w:pPr>
      <w:r>
        <w:rPr>
          <w:rFonts w:hint="eastAsia" w:ascii="仿宋" w:hAnsi="仿宋" w:cs="仿宋"/>
          <w:b/>
          <w:bCs/>
          <w:color w:val="333333"/>
          <w:kern w:val="0"/>
        </w:rPr>
        <w:t>第三十七条</w:t>
      </w:r>
      <w:r>
        <w:rPr>
          <w:rFonts w:hint="eastAsia" w:ascii="仿宋" w:hAnsi="仿宋" w:cs="仿宋"/>
          <w:color w:val="333333"/>
          <w:kern w:val="0"/>
        </w:rPr>
        <w:t xml:space="preserve"> 企业应制定进货查验制度，包括原辅料验收标准和进厂的原辅料进行验证、检验、记录、报告以及接收或拒收的处理意见和审批手续等内容。</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color w:val="333333"/>
          <w:kern w:val="0"/>
        </w:rPr>
        <w:t>企业采购的营养强化剂和其他食品添加剂应进行进货验证，确保符合相关标准要求。</w:t>
      </w:r>
    </w:p>
    <w:p>
      <w:pPr>
        <w:pStyle w:val="27"/>
        <w:widowControl w:val="0"/>
        <w:shd w:val="clear"/>
        <w:adjustRightInd w:val="0"/>
        <w:snapToGrid w:val="0"/>
        <w:spacing w:after="0" w:line="600" w:lineRule="exact"/>
        <w:ind w:firstLine="612" w:firstLineChars="196"/>
        <w:rPr>
          <w:rFonts w:ascii="仿宋" w:hAnsi="仿宋" w:eastAsia="仿宋" w:cs="仿宋"/>
          <w:color w:val="333333"/>
          <w:kern w:val="0"/>
          <w:sz w:val="32"/>
          <w:szCs w:val="32"/>
        </w:rPr>
      </w:pPr>
      <w:r>
        <w:rPr>
          <w:rFonts w:hint="eastAsia" w:ascii="仿宋" w:hAnsi="仿宋" w:eastAsia="仿宋" w:cs="仿宋"/>
          <w:b/>
          <w:bCs/>
          <w:color w:val="333333"/>
          <w:kern w:val="0"/>
          <w:sz w:val="32"/>
          <w:szCs w:val="32"/>
        </w:rPr>
        <w:t>第三十八条</w:t>
      </w:r>
      <w:r>
        <w:rPr>
          <w:rFonts w:hint="eastAsia" w:ascii="仿宋" w:hAnsi="仿宋" w:eastAsia="仿宋" w:cs="仿宋"/>
          <w:color w:val="333333"/>
          <w:kern w:val="0"/>
          <w:sz w:val="32"/>
          <w:szCs w:val="32"/>
        </w:rPr>
        <w:t xml:space="preserve"> 企业应建立原辅料管理制度。保证采购、使用的原辅料符合相应的标准规定。</w:t>
      </w:r>
    </w:p>
    <w:p>
      <w:pPr>
        <w:pStyle w:val="27"/>
        <w:widowControl w:val="0"/>
        <w:shd w:val="clear"/>
        <w:adjustRightInd w:val="0"/>
        <w:snapToGrid w:val="0"/>
        <w:spacing w:after="0" w:line="600" w:lineRule="exact"/>
        <w:ind w:firstLine="612" w:firstLineChars="196"/>
        <w:rPr>
          <w:rFonts w:ascii="仿宋" w:hAnsi="仿宋" w:eastAsia="仿宋" w:cs="仿宋"/>
          <w:color w:val="333333"/>
          <w:kern w:val="0"/>
          <w:sz w:val="32"/>
          <w:szCs w:val="32"/>
        </w:rPr>
      </w:pPr>
      <w:r>
        <w:rPr>
          <w:rFonts w:hint="eastAsia" w:ascii="仿宋" w:hAnsi="仿宋" w:eastAsia="仿宋" w:cs="仿宋"/>
          <w:color w:val="333333"/>
          <w:kern w:val="0"/>
          <w:sz w:val="32"/>
          <w:szCs w:val="32"/>
        </w:rPr>
        <w:t>不得使用危害人体营养及健康的违禁添加物或其他非食用原料制成的产品作为生</w:t>
      </w:r>
      <w:r>
        <w:rPr>
          <w:rFonts w:hint="eastAsia" w:ascii="仿宋" w:hAnsi="仿宋" w:eastAsia="仿宋" w:cs="仿宋"/>
          <w:color w:val="333333"/>
          <w:kern w:val="0"/>
          <w:sz w:val="32"/>
          <w:szCs w:val="32"/>
          <w:lang w:val="en-US" w:eastAsia="zh-CN" w:bidi="ar-SA"/>
        </w:rPr>
        <w:t>产原辅料</w:t>
      </w:r>
      <w:r>
        <w:rPr>
          <w:rFonts w:hint="eastAsia" w:ascii="仿宋" w:hAnsi="仿宋" w:eastAsia="仿宋" w:cs="仿宋"/>
          <w:color w:val="333333"/>
          <w:kern w:val="0"/>
          <w:sz w:val="32"/>
          <w:szCs w:val="32"/>
        </w:rPr>
        <w:t>；不得使用经辐照处理过的原辅料。</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color w:val="333333"/>
          <w:kern w:val="0"/>
        </w:rPr>
        <w:t>包装材料应清洁、无毒且符合国家相关标准及规定。包装材料在特定储存和使用条件下不应影响奶片的安全和产品特性。</w:t>
      </w:r>
    </w:p>
    <w:p>
      <w:pPr>
        <w:shd w:val="clear"/>
        <w:spacing w:line="600" w:lineRule="exact"/>
        <w:rPr>
          <w:rFonts w:ascii="仿宋" w:hAnsi="仿宋" w:cs="仿宋"/>
          <w:color w:val="333333"/>
          <w:kern w:val="0"/>
        </w:rPr>
      </w:pPr>
      <w:r>
        <w:rPr>
          <w:rFonts w:hint="eastAsia" w:ascii="仿宋" w:hAnsi="仿宋" w:cs="仿宋"/>
          <w:color w:val="333333"/>
          <w:kern w:val="0"/>
        </w:rPr>
        <w:t xml:space="preserve">    </w:t>
      </w:r>
      <w:r>
        <w:rPr>
          <w:rFonts w:hint="eastAsia" w:ascii="仿宋" w:hAnsi="仿宋" w:cs="仿宋"/>
          <w:b/>
          <w:bCs/>
          <w:color w:val="333333"/>
          <w:kern w:val="0"/>
        </w:rPr>
        <w:t>第三十九条</w:t>
      </w:r>
      <w:r>
        <w:rPr>
          <w:rFonts w:hint="eastAsia" w:ascii="仿宋" w:hAnsi="仿宋" w:cs="仿宋"/>
          <w:color w:val="333333"/>
          <w:kern w:val="0"/>
        </w:rPr>
        <w:t xml:space="preserve"> 企业应制定物料储存和分发制度。建立物料动态信息标示卡和出入库台账，确保物料做到账物相符。物料的使用应遵循“先进先出”和“近效期先出”原则制定物料的使用计划，处于合格状态的物料方可分发。</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color w:val="333333"/>
          <w:kern w:val="0"/>
        </w:rPr>
        <w:t>物料的接收、发放和使用应有可追溯的清晰发放记录，经收发双方核实并在相应记录上签字确认。</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b/>
          <w:bCs/>
          <w:color w:val="333333"/>
          <w:kern w:val="0"/>
        </w:rPr>
        <w:t xml:space="preserve">第四十条 </w:t>
      </w:r>
      <w:r>
        <w:rPr>
          <w:rFonts w:hint="eastAsia" w:ascii="仿宋" w:hAnsi="仿宋" w:cs="仿宋"/>
          <w:color w:val="333333"/>
          <w:kern w:val="0"/>
        </w:rPr>
        <w:t>企业应制定防止生物污染、化学污染、物理污染的生产过程控制措施，并应满足以下要求：</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color w:val="333333"/>
          <w:kern w:val="0"/>
        </w:rPr>
        <w:t>（一）应制定清洁作业区空气质量监控计划，每年应由有资质的第三方检测机构检测并出具空气洁净度的检测报告。在设备安装或工艺重大改造后应对清洁作业区的空气洁净度进行检测，符合要求后方可投入生产。企业应制定清洁作业区的空气洁净度控制要求，并定期进行监控。</w:t>
      </w:r>
    </w:p>
    <w:p>
      <w:pPr>
        <w:widowControl/>
        <w:shd w:val="clear"/>
        <w:spacing w:line="600" w:lineRule="exact"/>
        <w:ind w:firstLine="624" w:firstLineChars="200"/>
        <w:jc w:val="left"/>
        <w:rPr>
          <w:rFonts w:ascii="仿宋" w:hAnsi="仿宋" w:cs="仿宋"/>
          <w:color w:val="333333"/>
          <w:kern w:val="0"/>
        </w:rPr>
      </w:pPr>
      <w:r>
        <w:rPr>
          <w:rFonts w:hint="eastAsia" w:ascii="仿宋" w:hAnsi="仿宋" w:cs="仿宋"/>
          <w:color w:val="333333"/>
          <w:kern w:val="0"/>
        </w:rPr>
        <w:t>清洁作业区空气中的菌落总数应控制在30CFU/皿（按GB/T 16294中沉降菌的检测方法），并每年提交有资质的检验机构出具的空气洁净度的检测报告。清洁作业区与非清洁作业区之间空气压差不小于10Pa（通过压差计测量）。</w:t>
      </w:r>
    </w:p>
    <w:p>
      <w:pPr>
        <w:widowControl/>
        <w:shd w:val="clear"/>
        <w:spacing w:line="600" w:lineRule="exact"/>
        <w:ind w:firstLine="624" w:firstLineChars="200"/>
        <w:jc w:val="left"/>
        <w:rPr>
          <w:rFonts w:ascii="仿宋" w:hAnsi="仿宋" w:cs="仿宋"/>
          <w:color w:val="333333"/>
          <w:kern w:val="0"/>
        </w:rPr>
      </w:pPr>
      <w:r>
        <w:rPr>
          <w:rFonts w:hint="eastAsia" w:ascii="仿宋" w:hAnsi="仿宋" w:cs="仿宋"/>
          <w:color w:val="333333"/>
          <w:kern w:val="0"/>
        </w:rPr>
        <w:t>（二）应结合生产工艺及相关产品标准要求，制定生产过程的微生物监控计划。</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color w:val="333333"/>
          <w:kern w:val="0"/>
        </w:rPr>
        <w:t>（三）用于生产设备的可能直接或间接接触食品的部件润滑油应当是食品级。</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color w:val="333333"/>
          <w:kern w:val="0"/>
        </w:rPr>
        <w:t>（四）当进行现场维修、维护及施工等工作时，应采取适当措施避免异物、异味、碎屑等污染产品。</w:t>
      </w:r>
    </w:p>
    <w:p>
      <w:pPr>
        <w:widowControl/>
        <w:shd w:val="clear"/>
        <w:spacing w:line="600" w:lineRule="exact"/>
        <w:ind w:firstLine="720"/>
        <w:jc w:val="left"/>
        <w:rPr>
          <w:rFonts w:hint="eastAsia" w:ascii="仿宋" w:hAnsi="仿宋" w:cs="仿宋"/>
          <w:color w:val="333333"/>
          <w:kern w:val="0"/>
        </w:rPr>
      </w:pPr>
      <w:r>
        <w:rPr>
          <w:rFonts w:hint="eastAsia" w:ascii="仿宋" w:hAnsi="仿宋" w:cs="仿宋"/>
          <w:color w:val="333333"/>
          <w:kern w:val="0"/>
        </w:rPr>
        <w:t>（五）至少应设立下列生产关键环节控制要求：</w:t>
      </w:r>
    </w:p>
    <w:p>
      <w:pPr>
        <w:widowControl/>
        <w:shd w:val="clear"/>
        <w:spacing w:line="600" w:lineRule="exact"/>
        <w:ind w:firstLine="720"/>
        <w:jc w:val="left"/>
        <w:rPr>
          <w:rFonts w:hint="eastAsia" w:ascii="仿宋" w:hAnsi="仿宋" w:cs="仿宋"/>
          <w:color w:val="333333"/>
          <w:kern w:val="0"/>
          <w:lang w:eastAsia="zh-CN"/>
        </w:rPr>
      </w:pPr>
      <w:r>
        <w:rPr>
          <w:rFonts w:hint="eastAsia" w:ascii="仿宋" w:hAnsi="仿宋" w:cs="仿宋"/>
          <w:color w:val="333333"/>
          <w:kern w:val="0"/>
        </w:rPr>
        <w:t>1.原</w:t>
      </w:r>
      <w:r>
        <w:rPr>
          <w:rFonts w:hint="eastAsia" w:ascii="仿宋" w:hAnsi="仿宋" w:cs="仿宋"/>
          <w:color w:val="333333"/>
          <w:kern w:val="0"/>
          <w:lang w:eastAsia="zh-CN"/>
        </w:rPr>
        <w:t>辅料预处理。原辅料进入清洁作业区前应脱去外包装并采取适当方式进行杀菌（如隧道杀菌或其他杀菌方式）。</w:t>
      </w:r>
    </w:p>
    <w:p>
      <w:pPr>
        <w:widowControl/>
        <w:shd w:val="clear"/>
        <w:spacing w:line="600" w:lineRule="exact"/>
        <w:ind w:firstLine="720"/>
        <w:jc w:val="left"/>
        <w:rPr>
          <w:rFonts w:ascii="仿宋" w:hAnsi="仿宋" w:cs="仿宋"/>
          <w:color w:val="333333"/>
          <w:kern w:val="0"/>
        </w:rPr>
      </w:pPr>
      <w:r>
        <w:rPr>
          <w:rFonts w:hint="eastAsia" w:ascii="仿宋" w:hAnsi="仿宋" w:cs="仿宋"/>
          <w:color w:val="333333"/>
          <w:kern w:val="0"/>
          <w:lang w:val="en-US" w:eastAsia="zh-CN"/>
        </w:rPr>
        <w:t>2</w:t>
      </w:r>
      <w:r>
        <w:rPr>
          <w:rFonts w:ascii="仿宋" w:hAnsi="仿宋" w:cs="仿宋"/>
          <w:color w:val="333333"/>
          <w:kern w:val="0"/>
        </w:rPr>
        <w:t>.</w:t>
      </w:r>
      <w:r>
        <w:rPr>
          <w:rFonts w:hint="eastAsia" w:ascii="仿宋" w:hAnsi="仿宋" w:cs="仿宋"/>
          <w:color w:val="333333"/>
          <w:kern w:val="0"/>
        </w:rPr>
        <w:t>配料工序控制。应当监控并记录投料种类、数量以及投料顺序；原辅料投入输送系统应当有适宜过滤除杂设施；根据生产工艺要求，进行搅拌操作的，应当监控和记录相关工艺参数。</w:t>
      </w:r>
    </w:p>
    <w:p>
      <w:pPr>
        <w:widowControl/>
        <w:shd w:val="clear"/>
        <w:spacing w:line="600" w:lineRule="exact"/>
        <w:ind w:firstLine="720"/>
        <w:jc w:val="left"/>
        <w:rPr>
          <w:rFonts w:ascii="仿宋" w:hAnsi="仿宋" w:cs="仿宋"/>
          <w:color w:val="333333"/>
          <w:kern w:val="0"/>
        </w:rPr>
      </w:pPr>
      <w:r>
        <w:rPr>
          <w:rFonts w:hint="eastAsia" w:ascii="仿宋" w:hAnsi="仿宋" w:cs="仿宋"/>
          <w:color w:val="333333"/>
          <w:kern w:val="0"/>
          <w:lang w:val="en-US" w:eastAsia="zh-CN"/>
        </w:rPr>
        <w:t>3</w:t>
      </w:r>
      <w:r>
        <w:rPr>
          <w:rFonts w:ascii="仿宋" w:hAnsi="仿宋" w:cs="仿宋"/>
          <w:color w:val="333333"/>
          <w:kern w:val="0"/>
        </w:rPr>
        <w:t>.</w:t>
      </w:r>
      <w:r>
        <w:rPr>
          <w:rFonts w:hint="eastAsia" w:ascii="仿宋" w:hAnsi="仿宋" w:cs="仿宋"/>
          <w:color w:val="333333"/>
          <w:kern w:val="0"/>
        </w:rPr>
        <w:t>成型包装控制。应当通过金属检测器等进行异物控制，并配备剔除设备。</w:t>
      </w:r>
    </w:p>
    <w:p>
      <w:pPr>
        <w:widowControl/>
        <w:shd w:val="clear"/>
        <w:spacing w:line="600" w:lineRule="exact"/>
        <w:ind w:firstLine="624" w:firstLineChars="200"/>
        <w:jc w:val="left"/>
        <w:rPr>
          <w:rFonts w:ascii="仿宋" w:hAnsi="仿宋" w:cs="仿宋"/>
          <w:color w:val="333333"/>
          <w:kern w:val="0"/>
        </w:rPr>
      </w:pPr>
      <w:r>
        <w:rPr>
          <w:rFonts w:hint="eastAsia" w:ascii="仿宋" w:hAnsi="仿宋" w:cs="仿宋"/>
          <w:color w:val="333333"/>
          <w:kern w:val="0"/>
        </w:rPr>
        <w:t>（六）应当制定清场管理要求。各生产工序在生产结束后、更换品种或批次前，应当对现场进行清场并进行记录。清场工作包括剩余物料的处理，中间品、成品的处理，废弃物的处理，生产用具的处理，外包工序的清场。记录内容包括：工序、品名、生产批次、清场时间、检查项目及结果等，清场应进行记录，同时对清场的结果进行物料平衡的验证。</w:t>
      </w:r>
    </w:p>
    <w:p>
      <w:pPr>
        <w:shd w:val="clear"/>
        <w:adjustRightInd w:val="0"/>
        <w:snapToGrid w:val="0"/>
        <w:spacing w:line="600" w:lineRule="exact"/>
        <w:jc w:val="left"/>
        <w:rPr>
          <w:rFonts w:ascii="仿宋" w:hAnsi="仿宋" w:cs="仿宋"/>
          <w:color w:val="333333"/>
          <w:kern w:val="0"/>
        </w:rPr>
      </w:pPr>
      <w:r>
        <w:rPr>
          <w:rFonts w:hint="eastAsia" w:ascii="仿宋" w:hAnsi="仿宋" w:cs="仿宋"/>
          <w:color w:val="333333"/>
          <w:kern w:val="0"/>
        </w:rPr>
        <w:t xml:space="preserve">    </w:t>
      </w:r>
      <w:r>
        <w:rPr>
          <w:rFonts w:hint="eastAsia" w:ascii="仿宋" w:hAnsi="仿宋" w:cs="仿宋"/>
          <w:b/>
          <w:bCs/>
          <w:color w:val="333333"/>
          <w:kern w:val="0"/>
        </w:rPr>
        <w:t>第四十一条</w:t>
      </w:r>
      <w:r>
        <w:rPr>
          <w:rFonts w:hint="eastAsia" w:ascii="仿宋" w:hAnsi="仿宋" w:cs="仿宋"/>
          <w:color w:val="333333"/>
          <w:kern w:val="0"/>
        </w:rPr>
        <w:t xml:space="preserve"> 企业应建立清洁和消毒制度，制定适宜的计划和程序。严格执行监督程序，以确保人工清洁、消毒等操作流程符合相关规定和标准要求。对清洁和消毒程序进行记录，如清洁剂和消毒剂的品种、浓度、对象等。</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color w:val="333333"/>
          <w:kern w:val="0"/>
        </w:rPr>
        <w:t>清洁、消毒时应做好产品防护，采用与原料、产品和生产工艺相适应的消毒剂和清洁、消毒方式，避免对产品造成污染。</w:t>
      </w:r>
    </w:p>
    <w:p>
      <w:pPr>
        <w:shd w:val="clear"/>
        <w:spacing w:line="600" w:lineRule="exact"/>
        <w:rPr>
          <w:rFonts w:ascii="仿宋" w:hAnsi="仿宋" w:cs="仿宋"/>
          <w:color w:val="333333"/>
          <w:kern w:val="0"/>
        </w:rPr>
      </w:pPr>
      <w:r>
        <w:rPr>
          <w:rFonts w:hint="eastAsia" w:ascii="仿宋" w:hAnsi="仿宋" w:cs="仿宋"/>
          <w:color w:val="333333"/>
          <w:kern w:val="0"/>
        </w:rPr>
        <w:t xml:space="preserve">    </w:t>
      </w:r>
      <w:r>
        <w:rPr>
          <w:rFonts w:hint="eastAsia" w:ascii="仿宋" w:hAnsi="仿宋" w:cs="仿宋"/>
          <w:b/>
          <w:bCs/>
          <w:color w:val="333333"/>
          <w:kern w:val="0"/>
        </w:rPr>
        <w:t>第四十二条</w:t>
      </w:r>
      <w:r>
        <w:rPr>
          <w:rFonts w:hint="eastAsia" w:ascii="仿宋" w:hAnsi="仿宋" w:cs="仿宋"/>
          <w:color w:val="333333"/>
          <w:kern w:val="0"/>
        </w:rPr>
        <w:t xml:space="preserve"> 企业应建立设备设施管理制度，确保设备设施正常运行。设备设施应指定专人进行管理，设备设施的标识、台账、说明书、档案、维护和维修记录应准确、齐全。</w:t>
      </w:r>
    </w:p>
    <w:p>
      <w:pPr>
        <w:shd w:val="clear"/>
        <w:spacing w:line="600" w:lineRule="exact"/>
        <w:ind w:firstLine="153" w:firstLineChars="49"/>
        <w:rPr>
          <w:rFonts w:ascii="仿宋" w:hAnsi="仿宋" w:cs="仿宋"/>
          <w:color w:val="333333"/>
          <w:kern w:val="0"/>
        </w:rPr>
      </w:pPr>
      <w:r>
        <w:rPr>
          <w:rFonts w:hint="eastAsia" w:ascii="仿宋" w:hAnsi="仿宋" w:cs="仿宋"/>
          <w:color w:val="333333"/>
          <w:kern w:val="0"/>
        </w:rPr>
        <w:t xml:space="preserve">   应对生产设备、检验设备、设施的运行状态进行标识管理，明确各种状态及标识的定义，并定期对标识进行检查和维护。</w:t>
      </w:r>
    </w:p>
    <w:p>
      <w:pPr>
        <w:shd w:val="clear"/>
        <w:spacing w:line="600" w:lineRule="exact"/>
        <w:ind w:firstLine="153" w:firstLineChars="49"/>
        <w:rPr>
          <w:rFonts w:ascii="仿宋" w:hAnsi="仿宋" w:cs="仿宋"/>
          <w:color w:val="333333"/>
          <w:kern w:val="0"/>
        </w:rPr>
      </w:pPr>
      <w:r>
        <w:rPr>
          <w:rFonts w:hint="eastAsia" w:ascii="仿宋" w:hAnsi="仿宋" w:cs="仿宋"/>
          <w:color w:val="333333"/>
          <w:kern w:val="0"/>
        </w:rPr>
        <w:t xml:space="preserve">   应制定设备设施维修维护计划，并定期有效实施，确保设备设施正常运行。需检定或校准的设备设施应定期检定或校准。检验设备设施应定期进行维护和期间核查，保证检验设备的性能满足要求。检验设备应有使用记录。</w:t>
      </w:r>
    </w:p>
    <w:p>
      <w:pPr>
        <w:pStyle w:val="19"/>
        <w:shd w:val="clear"/>
        <w:spacing w:line="600" w:lineRule="exact"/>
        <w:ind w:firstLine="626"/>
        <w:rPr>
          <w:rFonts w:ascii="仿宋" w:hAnsi="仿宋" w:cs="仿宋"/>
          <w:color w:val="333333"/>
          <w:kern w:val="0"/>
        </w:rPr>
      </w:pPr>
      <w:r>
        <w:rPr>
          <w:rFonts w:hint="eastAsia" w:ascii="仿宋" w:hAnsi="仿宋" w:cs="仿宋"/>
          <w:b/>
          <w:bCs/>
          <w:color w:val="333333"/>
          <w:kern w:val="0"/>
        </w:rPr>
        <w:t>第四十三条</w:t>
      </w:r>
      <w:r>
        <w:rPr>
          <w:rFonts w:hint="eastAsia" w:ascii="仿宋" w:hAnsi="仿宋" w:cs="仿宋"/>
          <w:color w:val="333333"/>
          <w:kern w:val="0"/>
        </w:rPr>
        <w:t xml:space="preserve"> 企业应建立物料运输管理制度，不得将原辅料、产品与有毒有害物品一同运输。运输工具、车辆应定期检查卫生清洁情况，运输条件应符合物料的储存要求（温度、湿度等）。</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b/>
          <w:bCs/>
          <w:color w:val="333333"/>
          <w:kern w:val="0"/>
        </w:rPr>
        <w:t>第四十四条</w:t>
      </w:r>
      <w:r>
        <w:rPr>
          <w:rFonts w:hint="eastAsia" w:ascii="仿宋" w:hAnsi="仿宋" w:cs="仿宋"/>
          <w:color w:val="333333"/>
          <w:kern w:val="0"/>
        </w:rPr>
        <w:t xml:space="preserve"> 企业应建立顺向可追踪、逆向可溯源的产品质量安全追溯制度，并定期实施追溯演练，以评价追溯体系的有效性。企业可根据实际情况选择采用电子或纸质形式记录，鼓励采用二维码、条码、射频识别（RFID）等追溯形式，采用信息化手段采集、留存信息。</w:t>
      </w:r>
    </w:p>
    <w:p>
      <w:pPr>
        <w:shd w:val="clear"/>
        <w:adjustRightInd w:val="0"/>
        <w:snapToGrid w:val="0"/>
        <w:spacing w:line="600" w:lineRule="exact"/>
        <w:ind w:firstLine="624" w:firstLineChars="200"/>
        <w:rPr>
          <w:rFonts w:ascii="仿宋" w:hAnsi="仿宋" w:cs="仿宋"/>
          <w:color w:val="FF0000"/>
          <w:kern w:val="0"/>
        </w:rPr>
      </w:pPr>
      <w:r>
        <w:rPr>
          <w:rFonts w:hint="eastAsia" w:ascii="仿宋" w:hAnsi="仿宋" w:cs="仿宋"/>
          <w:color w:val="333333"/>
          <w:kern w:val="0"/>
        </w:rPr>
        <w:t>（一）应将以下记录</w:t>
      </w:r>
      <w:r>
        <w:rPr>
          <w:rFonts w:hint="eastAsia" w:ascii="仿宋" w:hAnsi="仿宋" w:cs="仿宋"/>
          <w:kern w:val="0"/>
        </w:rPr>
        <w:t>纳入追溯体系：</w:t>
      </w:r>
    </w:p>
    <w:p>
      <w:pPr>
        <w:shd w:val="clear"/>
        <w:adjustRightInd w:val="0"/>
        <w:snapToGrid w:val="0"/>
        <w:spacing w:line="600" w:lineRule="exact"/>
        <w:ind w:firstLine="624" w:firstLineChars="200"/>
        <w:rPr>
          <w:rFonts w:ascii="仿宋" w:hAnsi="仿宋" w:cs="仿宋"/>
          <w:kern w:val="0"/>
        </w:rPr>
      </w:pPr>
      <w:r>
        <w:rPr>
          <w:rFonts w:hint="eastAsia" w:ascii="仿宋" w:hAnsi="仿宋" w:cs="仿宋"/>
          <w:kern w:val="0"/>
        </w:rPr>
        <w:t>1、原辅材料管理记录，包括：原辅材料（原辅料、食品添加剂、包装材料）验收记录、库房保管及物料领取记录、进货台账、不合格原料处理记录等；</w:t>
      </w:r>
    </w:p>
    <w:p>
      <w:pPr>
        <w:shd w:val="clear"/>
        <w:adjustRightInd w:val="0"/>
        <w:snapToGrid w:val="0"/>
        <w:spacing w:line="600" w:lineRule="exact"/>
        <w:ind w:firstLine="624" w:firstLineChars="200"/>
        <w:rPr>
          <w:rFonts w:ascii="仿宋" w:hAnsi="仿宋" w:cs="仿宋"/>
          <w:kern w:val="0"/>
        </w:rPr>
      </w:pPr>
      <w:r>
        <w:rPr>
          <w:rFonts w:ascii="仿宋" w:hAnsi="仿宋" w:cs="仿宋"/>
          <w:kern w:val="0"/>
        </w:rPr>
        <w:t>2</w:t>
      </w:r>
      <w:r>
        <w:rPr>
          <w:rFonts w:hint="eastAsia" w:ascii="仿宋" w:hAnsi="仿宋" w:cs="仿宋"/>
          <w:kern w:val="0"/>
        </w:rPr>
        <w:t>、生产过程管理记录，包括：生产计划记录、领料记录、投料记录、退库记录、关键控制点控制记录等；</w:t>
      </w:r>
    </w:p>
    <w:p>
      <w:pPr>
        <w:shd w:val="clear"/>
        <w:adjustRightInd w:val="0"/>
        <w:snapToGrid w:val="0"/>
        <w:spacing w:line="600" w:lineRule="exact"/>
        <w:ind w:firstLine="624" w:firstLineChars="200"/>
        <w:rPr>
          <w:rFonts w:ascii="仿宋" w:hAnsi="仿宋" w:cs="仿宋"/>
          <w:kern w:val="0"/>
        </w:rPr>
      </w:pPr>
      <w:r>
        <w:rPr>
          <w:rFonts w:ascii="仿宋" w:hAnsi="仿宋" w:cs="仿宋"/>
          <w:kern w:val="0"/>
        </w:rPr>
        <w:t>3</w:t>
      </w:r>
      <w:r>
        <w:rPr>
          <w:rFonts w:hint="eastAsia" w:ascii="仿宋" w:hAnsi="仿宋" w:cs="仿宋"/>
          <w:kern w:val="0"/>
        </w:rPr>
        <w:t>、产品管理记录，包括：成品包装记录、成品检验记录、产品留样记录、产品放行记录、产品贮存记录、产品销售记录、产品退货处置记录、不合格产品召回记录、产品销毁记录等；</w:t>
      </w:r>
    </w:p>
    <w:p>
      <w:pPr>
        <w:shd w:val="clear"/>
        <w:adjustRightInd w:val="0"/>
        <w:snapToGrid w:val="0"/>
        <w:spacing w:line="600" w:lineRule="exact"/>
        <w:ind w:firstLine="624" w:firstLineChars="200"/>
        <w:rPr>
          <w:rFonts w:ascii="仿宋" w:hAnsi="仿宋" w:cs="仿宋"/>
          <w:kern w:val="0"/>
        </w:rPr>
      </w:pPr>
      <w:r>
        <w:rPr>
          <w:rFonts w:ascii="仿宋" w:hAnsi="仿宋" w:cs="仿宋"/>
          <w:kern w:val="0"/>
        </w:rPr>
        <w:t>4</w:t>
      </w:r>
      <w:r>
        <w:rPr>
          <w:rFonts w:hint="eastAsia" w:ascii="仿宋" w:hAnsi="仿宋" w:cs="仿宋"/>
          <w:kern w:val="0"/>
        </w:rPr>
        <w:t>、设备记录，包括：设备清洗消毒记录、设备维护保养、使用及检修记录等；</w:t>
      </w:r>
    </w:p>
    <w:p>
      <w:pPr>
        <w:shd w:val="clear"/>
        <w:adjustRightInd w:val="0"/>
        <w:snapToGrid w:val="0"/>
        <w:spacing w:line="600" w:lineRule="exact"/>
        <w:ind w:firstLine="624" w:firstLineChars="200"/>
        <w:rPr>
          <w:rFonts w:ascii="仿宋" w:hAnsi="仿宋" w:cs="仿宋"/>
          <w:kern w:val="0"/>
        </w:rPr>
      </w:pPr>
      <w:r>
        <w:rPr>
          <w:rFonts w:ascii="仿宋" w:hAnsi="仿宋" w:cs="仿宋"/>
          <w:kern w:val="0"/>
        </w:rPr>
        <w:t>5</w:t>
      </w:r>
      <w:r>
        <w:rPr>
          <w:rFonts w:hint="eastAsia" w:ascii="仿宋" w:hAnsi="仿宋" w:cs="仿宋"/>
          <w:kern w:val="0"/>
        </w:rPr>
        <w:t>、环境场所清洁消毒记录。</w:t>
      </w:r>
    </w:p>
    <w:p>
      <w:pPr>
        <w:shd w:val="clear"/>
        <w:adjustRightInd w:val="0"/>
        <w:snapToGrid w:val="0"/>
        <w:spacing w:line="600" w:lineRule="exact"/>
        <w:ind w:firstLine="640"/>
        <w:rPr>
          <w:rFonts w:ascii="仿宋" w:hAnsi="仿宋" w:cs="仿宋"/>
          <w:color w:val="333333"/>
          <w:kern w:val="0"/>
        </w:rPr>
      </w:pPr>
      <w:r>
        <w:rPr>
          <w:rFonts w:hint="eastAsia" w:ascii="仿宋" w:hAnsi="仿宋" w:cs="仿宋"/>
          <w:color w:val="333333"/>
          <w:kern w:val="0"/>
        </w:rPr>
        <w:t>（二）应当按照追溯制度对不符合相关法律法规等规定或生产过程中发生食品质量安全问题的，查清流向，召回产品，排查原因，迅速整改。</w:t>
      </w:r>
    </w:p>
    <w:p>
      <w:pPr>
        <w:shd w:val="clear"/>
        <w:adjustRightInd w:val="0"/>
        <w:snapToGrid w:val="0"/>
        <w:spacing w:line="600" w:lineRule="exact"/>
        <w:ind w:firstLine="640"/>
        <w:rPr>
          <w:rFonts w:ascii="仿宋" w:hAnsi="仿宋" w:cs="仿宋"/>
          <w:color w:val="333333"/>
          <w:kern w:val="0"/>
        </w:rPr>
      </w:pPr>
      <w:r>
        <w:rPr>
          <w:rFonts w:hint="eastAsia" w:ascii="仿宋" w:hAnsi="仿宋" w:cs="仿宋"/>
          <w:color w:val="333333"/>
          <w:kern w:val="0"/>
        </w:rPr>
        <w:t>（三）企业应严格按照追溯制度开展信息采集、记录、整理、分析等工作，确保各项记录真实、可靠，实现所有环节信息有效衔接。企业可结合实际生产情况和保障产品质量安全需要，适当增加记录内容。</w:t>
      </w:r>
    </w:p>
    <w:p>
      <w:pPr>
        <w:shd w:val="clear"/>
        <w:adjustRightInd w:val="0"/>
        <w:snapToGrid w:val="0"/>
        <w:spacing w:line="560" w:lineRule="exact"/>
        <w:ind w:firstLine="624" w:firstLineChars="200"/>
        <w:rPr>
          <w:rFonts w:ascii="仿宋" w:hAnsi="仿宋" w:cs="仿宋"/>
          <w:color w:val="000000" w:themeColor="text1"/>
          <w:kern w:val="0"/>
          <w:lang w:bidi="ar"/>
          <w14:textFill>
            <w14:solidFill>
              <w14:schemeClr w14:val="tx1"/>
            </w14:solidFill>
          </w14:textFill>
        </w:rPr>
      </w:pPr>
      <w:r>
        <w:rPr>
          <w:rFonts w:hint="eastAsia" w:ascii="仿宋" w:hAnsi="仿宋" w:cs="仿宋"/>
          <w:b/>
          <w:bCs/>
          <w:color w:val="333333"/>
          <w:kern w:val="0"/>
        </w:rPr>
        <w:t>第四十五条</w:t>
      </w:r>
      <w:r>
        <w:rPr>
          <w:rFonts w:hint="eastAsia" w:ascii="仿宋" w:hAnsi="仿宋" w:cs="仿宋"/>
          <w:color w:val="333333"/>
          <w:kern w:val="0"/>
        </w:rPr>
        <w:t xml:space="preserve"> 企业</w:t>
      </w:r>
      <w:r>
        <w:t>应当制订研发管理制度，</w:t>
      </w:r>
      <w:r>
        <w:rPr>
          <w:color w:val="000000" w:themeColor="text1"/>
          <w:highlight w:val="none"/>
          <w14:textFill>
            <w14:solidFill>
              <w14:schemeClr w14:val="tx1"/>
            </w14:solidFill>
          </w14:textFill>
        </w:rPr>
        <w:t>对新产品的研发应当包括产品合规性、生产工艺、质量稳定和安全方面的综合</w:t>
      </w:r>
      <w:r>
        <w:rPr>
          <w:rFonts w:hint="eastAsia"/>
          <w:color w:val="000000" w:themeColor="text1"/>
          <w:highlight w:val="none"/>
          <w14:textFill>
            <w14:solidFill>
              <w14:schemeClr w14:val="tx1"/>
            </w14:solidFill>
          </w14:textFill>
        </w:rPr>
        <w:t>评价</w:t>
      </w:r>
      <w:r>
        <w:rPr>
          <w:color w:val="000000" w:themeColor="text1"/>
          <w:highlight w:val="none"/>
          <w14:textFill>
            <w14:solidFill>
              <w14:schemeClr w14:val="tx1"/>
            </w14:solidFill>
          </w14:textFill>
        </w:rPr>
        <w:t>，需保留完整的</w:t>
      </w:r>
      <w:r>
        <w:rPr>
          <w:rFonts w:hint="eastAsia"/>
          <w:color w:val="000000" w:themeColor="text1"/>
          <w:highlight w:val="none"/>
          <w14:textFill>
            <w14:solidFill>
              <w14:schemeClr w14:val="tx1"/>
            </w14:solidFill>
          </w14:textFill>
        </w:rPr>
        <w:t>评价</w:t>
      </w:r>
      <w:r>
        <w:rPr>
          <w:color w:val="000000" w:themeColor="text1"/>
          <w:highlight w:val="none"/>
          <w14:textFill>
            <w14:solidFill>
              <w14:schemeClr w14:val="tx1"/>
            </w14:solidFill>
          </w14:textFill>
        </w:rPr>
        <w:t>文件等资料</w:t>
      </w:r>
      <w:r>
        <w:rPr>
          <w:rFonts w:hint="eastAsia"/>
          <w:color w:val="000000" w:themeColor="text1"/>
          <w:highlight w:val="none"/>
          <w14:textFill>
            <w14:solidFill>
              <w14:schemeClr w14:val="tx1"/>
            </w14:solidFill>
          </w14:textFill>
        </w:rPr>
        <w:t>。</w:t>
      </w:r>
    </w:p>
    <w:p>
      <w:pPr>
        <w:shd w:val="clear"/>
        <w:adjustRightInd w:val="0"/>
        <w:snapToGrid w:val="0"/>
        <w:spacing w:line="600" w:lineRule="exact"/>
        <w:ind w:firstLine="624" w:firstLineChars="200"/>
        <w:rPr>
          <w:rFonts w:hint="eastAsia"/>
          <w:lang w:eastAsia="zh-CN"/>
        </w:rPr>
      </w:pPr>
      <w:r>
        <w:rPr>
          <w:rFonts w:hint="eastAsia" w:ascii="仿宋" w:hAnsi="仿宋" w:cs="仿宋"/>
          <w:b/>
          <w:bCs/>
          <w:color w:val="333333"/>
          <w:kern w:val="0"/>
        </w:rPr>
        <w:t xml:space="preserve">第四十六条 </w:t>
      </w:r>
      <w:r>
        <w:t>企业应当建立产品配方管理制度，</w:t>
      </w:r>
      <w:r>
        <w:rPr>
          <w:rFonts w:hint="eastAsia"/>
        </w:rPr>
        <w:t>产品配方应</w:t>
      </w:r>
      <w:r>
        <w:rPr>
          <w:rFonts w:hint="eastAsia"/>
          <w:lang w:eastAsia="zh-CN"/>
        </w:rPr>
        <w:t>科学、合规并通过专家论证，能够</w:t>
      </w:r>
      <w:r>
        <w:rPr>
          <w:rFonts w:hint="eastAsia"/>
        </w:rPr>
        <w:t>保证</w:t>
      </w:r>
      <w:r>
        <w:rPr>
          <w:rFonts w:hint="eastAsia"/>
          <w:lang w:eastAsia="zh-CN"/>
        </w:rPr>
        <w:t>食用者</w:t>
      </w:r>
      <w:r>
        <w:rPr>
          <w:rFonts w:hint="eastAsia"/>
        </w:rPr>
        <w:t>的安全，满足营养需要</w:t>
      </w:r>
      <w:r>
        <w:rPr>
          <w:rFonts w:hint="eastAsia"/>
          <w:lang w:eastAsia="zh-CN"/>
        </w:rPr>
        <w:t>。</w:t>
      </w:r>
      <w:r>
        <w:t>配方中</w:t>
      </w:r>
      <w:r>
        <w:rPr>
          <w:rFonts w:hint="eastAsia"/>
        </w:rPr>
        <w:t>应</w:t>
      </w:r>
      <w:r>
        <w:t>列明使用的食品添加剂、食品营养强化剂使用依据和规定使用量；所使用的食品添加剂、食品营养强化剂应当符合相应</w:t>
      </w:r>
      <w:r>
        <w:rPr>
          <w:rFonts w:hint="eastAsia"/>
        </w:rPr>
        <w:t>标准要求</w:t>
      </w:r>
      <w:r>
        <w:rPr>
          <w:rFonts w:hint="eastAsia"/>
          <w:lang w:eastAsia="zh-CN"/>
        </w:rPr>
        <w:t>。乳粉添加量不低于</w:t>
      </w:r>
      <w:r>
        <w:rPr>
          <w:rFonts w:hint="eastAsia"/>
          <w:lang w:val="en-US" w:eastAsia="zh-CN"/>
        </w:rPr>
        <w:t>70%</w:t>
      </w:r>
      <w:r>
        <w:rPr>
          <w:rFonts w:hint="eastAsia"/>
        </w:rPr>
        <w:t>。</w:t>
      </w:r>
      <w:r>
        <w:rPr>
          <w:rFonts w:hint="eastAsia"/>
          <w:lang w:eastAsia="zh-CN"/>
        </w:rPr>
        <w:t>应</w:t>
      </w:r>
      <w:r>
        <w:rPr>
          <w:rFonts w:hint="eastAsia"/>
        </w:rPr>
        <w:t>保留完整的配方设计</w:t>
      </w:r>
      <w:r>
        <w:rPr>
          <w:rFonts w:hint="eastAsia"/>
          <w:lang w:eastAsia="zh-CN"/>
        </w:rPr>
        <w:t>、</w:t>
      </w:r>
      <w:r>
        <w:rPr>
          <w:rFonts w:hint="eastAsia"/>
        </w:rPr>
        <w:t>论证</w:t>
      </w:r>
      <w:r>
        <w:rPr>
          <w:rFonts w:hint="eastAsia"/>
          <w:lang w:eastAsia="zh-CN"/>
        </w:rPr>
        <w:t>文件</w:t>
      </w:r>
      <w:r>
        <w:rPr>
          <w:rFonts w:hint="eastAsia"/>
        </w:rPr>
        <w:t>等资料</w:t>
      </w:r>
      <w:r>
        <w:rPr>
          <w:rFonts w:hint="eastAsia"/>
          <w:lang w:eastAsia="zh-CN"/>
        </w:rPr>
        <w:t>。</w:t>
      </w:r>
    </w:p>
    <w:p>
      <w:pPr>
        <w:shd w:val="clear"/>
        <w:adjustRightInd w:val="0"/>
        <w:snapToGrid w:val="0"/>
        <w:spacing w:line="600" w:lineRule="exact"/>
        <w:ind w:firstLine="630"/>
        <w:rPr>
          <w:rFonts w:ascii="仿宋" w:hAnsi="仿宋" w:cs="仿宋"/>
          <w:kern w:val="0"/>
          <w:lang w:bidi="ar"/>
        </w:rPr>
      </w:pPr>
      <w:r>
        <w:rPr>
          <w:rFonts w:hint="eastAsia" w:ascii="仿宋" w:hAnsi="仿宋" w:cs="仿宋"/>
          <w:b/>
          <w:bCs/>
          <w:color w:val="333333"/>
          <w:kern w:val="0"/>
        </w:rPr>
        <w:t>第四十七条</w:t>
      </w:r>
      <w:r>
        <w:rPr>
          <w:rFonts w:hint="eastAsia" w:ascii="仿宋" w:hAnsi="仿宋" w:cs="仿宋"/>
          <w:color w:val="333333"/>
          <w:kern w:val="0"/>
        </w:rPr>
        <w:t xml:space="preserve"> </w:t>
      </w:r>
      <w:r>
        <w:rPr>
          <w:rFonts w:hint="eastAsia" w:ascii="仿宋" w:hAnsi="仿宋" w:cs="仿宋"/>
          <w:kern w:val="0"/>
          <w:lang w:bidi="ar"/>
        </w:rPr>
        <w:t>企业应建立检验管理制度，包括对原辅材料的验收、半成品监控和监测、成品出厂检验的管理规定，确保产品符合食品安全标准要求。</w:t>
      </w:r>
    </w:p>
    <w:p>
      <w:pPr>
        <w:shd w:val="clear"/>
        <w:adjustRightInd w:val="0"/>
        <w:snapToGrid w:val="0"/>
        <w:spacing w:line="560" w:lineRule="exact"/>
        <w:ind w:firstLine="624" w:firstLineChars="200"/>
        <w:rPr>
          <w:rFonts w:ascii="仿宋" w:hAnsi="仿宋" w:cs="仿宋"/>
          <w:kern w:val="0"/>
          <w:lang w:bidi="ar"/>
        </w:rPr>
      </w:pPr>
      <w:r>
        <w:rPr>
          <w:rFonts w:hint="eastAsia" w:ascii="仿宋" w:hAnsi="仿宋" w:cs="仿宋"/>
          <w:kern w:val="0"/>
          <w:lang w:bidi="ar"/>
        </w:rPr>
        <w:t>产品出厂检验应当依据产品执行标准规定的所有检验项目进行逐批检验。</w:t>
      </w:r>
    </w:p>
    <w:p>
      <w:pPr>
        <w:shd w:val="clear"/>
        <w:adjustRightInd w:val="0"/>
        <w:snapToGrid w:val="0"/>
        <w:spacing w:line="560" w:lineRule="exact"/>
        <w:ind w:firstLine="624" w:firstLineChars="200"/>
        <w:rPr>
          <w:rFonts w:ascii="仿宋" w:hAnsi="仿宋" w:cs="仿宋"/>
          <w:kern w:val="0"/>
          <w:lang w:bidi="ar"/>
        </w:rPr>
      </w:pPr>
      <w:r>
        <w:rPr>
          <w:rFonts w:hint="eastAsia" w:ascii="仿宋" w:hAnsi="仿宋" w:cs="仿宋"/>
          <w:kern w:val="0"/>
          <w:lang w:bidi="ar"/>
        </w:rPr>
        <w:t>自行检验的，应当定期与具有合法资质的检验机构对出厂项目进行能力比对或验证，并符合相应的检验要求；不能自行检验的，应当委托具有合法资质的检验机构进行检验，并出具检验报告。</w:t>
      </w:r>
    </w:p>
    <w:p>
      <w:pPr>
        <w:shd w:val="clear"/>
        <w:adjustRightInd w:val="0"/>
        <w:snapToGrid w:val="0"/>
        <w:spacing w:line="560" w:lineRule="exact"/>
        <w:ind w:firstLine="624" w:firstLineChars="200"/>
        <w:rPr>
          <w:rFonts w:ascii="仿宋" w:hAnsi="仿宋" w:cs="仿宋"/>
          <w:kern w:val="0"/>
          <w:lang w:bidi="ar"/>
        </w:rPr>
      </w:pPr>
      <w:r>
        <w:rPr>
          <w:rFonts w:hint="eastAsia" w:ascii="仿宋" w:hAnsi="仿宋" w:cs="仿宋"/>
          <w:b/>
          <w:bCs/>
          <w:color w:val="333333"/>
          <w:kern w:val="0"/>
        </w:rPr>
        <w:t xml:space="preserve">第四十八条 </w:t>
      </w:r>
      <w:r>
        <w:rPr>
          <w:rFonts w:hint="eastAsia" w:ascii="仿宋" w:hAnsi="仿宋" w:cs="仿宋"/>
          <w:kern w:val="0"/>
          <w:lang w:bidi="ar"/>
        </w:rPr>
        <w:t>企业可以使用快速检测方法及设备，但应保证检测结果准确。使用快速检</w:t>
      </w:r>
      <w:bookmarkStart w:id="6" w:name="_GoBack"/>
      <w:bookmarkEnd w:id="6"/>
      <w:r>
        <w:rPr>
          <w:rFonts w:hint="eastAsia" w:ascii="仿宋" w:hAnsi="仿宋" w:cs="仿宋"/>
          <w:kern w:val="0"/>
          <w:lang w:bidi="ar"/>
        </w:rPr>
        <w:t>测方法及设备做检验时，应定期与国家标准规定的检验方法比对或验证。快速检测结果不合格时，应使用国家标准规定的检验方法进行确认。</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b/>
          <w:bCs/>
          <w:color w:val="333333"/>
          <w:kern w:val="0"/>
        </w:rPr>
        <w:t>第四十九条</w:t>
      </w:r>
      <w:r>
        <w:rPr>
          <w:rFonts w:hint="eastAsia" w:ascii="仿宋" w:hAnsi="仿宋" w:cs="仿宋"/>
          <w:color w:val="333333"/>
          <w:kern w:val="0"/>
        </w:rPr>
        <w:t xml:space="preserve"> 企业应建立产品留样制度，及时保留样品。产品留样间应满足产品储存条件要求，留样数量应满足检验要求，产品留样应保存至保质期满，并有相应记录。</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b/>
          <w:bCs/>
          <w:color w:val="333333"/>
          <w:kern w:val="0"/>
        </w:rPr>
        <w:t>第五十条</w:t>
      </w:r>
      <w:r>
        <w:rPr>
          <w:rFonts w:hint="eastAsia" w:ascii="仿宋" w:hAnsi="仿宋" w:cs="仿宋"/>
          <w:color w:val="333333"/>
          <w:kern w:val="0"/>
        </w:rPr>
        <w:t xml:space="preserve"> 企业应建立产品出厂放行制度，明确批准出厂人员的职责。产品出厂检验合格后方可批准放行。</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b/>
          <w:bCs/>
          <w:color w:val="333333"/>
          <w:kern w:val="0"/>
        </w:rPr>
        <w:t xml:space="preserve">第五十一条 </w:t>
      </w:r>
      <w:r>
        <w:rPr>
          <w:rFonts w:hint="eastAsia" w:ascii="仿宋" w:hAnsi="仿宋" w:cs="仿宋"/>
          <w:color w:val="333333"/>
          <w:kern w:val="0"/>
        </w:rPr>
        <w:t>企业应制定原辅料、过程产品和成品的不合格管理制度及相关处理办法，建立和保存不合格品处理过程记录。</w:t>
      </w:r>
    </w:p>
    <w:p>
      <w:pPr>
        <w:shd w:val="clear"/>
        <w:adjustRightInd w:val="0"/>
        <w:snapToGrid w:val="0"/>
        <w:spacing w:line="600" w:lineRule="exact"/>
        <w:ind w:firstLine="630"/>
        <w:rPr>
          <w:rFonts w:ascii="仿宋" w:hAnsi="仿宋" w:cs="仿宋"/>
          <w:color w:val="333333"/>
          <w:kern w:val="0"/>
        </w:rPr>
      </w:pPr>
      <w:r>
        <w:rPr>
          <w:rFonts w:hint="eastAsia" w:ascii="仿宋" w:hAnsi="仿宋" w:cs="仿宋"/>
          <w:b/>
          <w:bCs/>
          <w:color w:val="333333"/>
          <w:kern w:val="0"/>
        </w:rPr>
        <w:t>第五十二条</w:t>
      </w:r>
      <w:r>
        <w:rPr>
          <w:rFonts w:hint="eastAsia" w:ascii="仿宋" w:hAnsi="仿宋" w:cs="仿宋"/>
          <w:color w:val="333333"/>
          <w:kern w:val="0"/>
        </w:rPr>
        <w:t xml:space="preserve"> 企业应建立不安全产品的召回制度。应对召回的产品采取补救、无害化处理等措施，记录召回和处理情况，并向所在地县级人民政府市场监管部门报告。</w:t>
      </w:r>
    </w:p>
    <w:p>
      <w:pPr>
        <w:shd w:val="clear"/>
        <w:adjustRightInd w:val="0"/>
        <w:snapToGrid w:val="0"/>
        <w:spacing w:line="600" w:lineRule="exact"/>
        <w:ind w:firstLine="640"/>
        <w:rPr>
          <w:rFonts w:ascii="仿宋" w:hAnsi="仿宋" w:cs="仿宋"/>
          <w:color w:val="333333"/>
          <w:kern w:val="0"/>
        </w:rPr>
      </w:pPr>
      <w:r>
        <w:rPr>
          <w:rFonts w:hint="eastAsia" w:ascii="仿宋" w:hAnsi="仿宋" w:cs="仿宋"/>
          <w:color w:val="333333"/>
          <w:kern w:val="0"/>
        </w:rPr>
        <w:t>企业可依法采取补救措施、继续销售的，应当记录采取补救措施的时间、地点、人员、处理方式等。</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b/>
          <w:bCs/>
          <w:color w:val="333333"/>
          <w:kern w:val="0"/>
        </w:rPr>
        <w:t>第五十三条</w:t>
      </w:r>
      <w:r>
        <w:rPr>
          <w:rFonts w:hint="eastAsia" w:ascii="仿宋" w:hAnsi="仿宋" w:cs="仿宋"/>
          <w:color w:val="333333"/>
          <w:kern w:val="0"/>
        </w:rPr>
        <w:t xml:space="preserve"> 企业应定建立自查制度，定期进行自查，保证其有效运行，并形成自查报告。</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b/>
          <w:bCs/>
          <w:color w:val="333333"/>
          <w:kern w:val="0"/>
        </w:rPr>
        <w:t>第五十四条</w:t>
      </w:r>
      <w:r>
        <w:rPr>
          <w:rFonts w:hint="eastAsia" w:ascii="仿宋" w:hAnsi="仿宋" w:cs="仿宋"/>
          <w:color w:val="333333"/>
          <w:kern w:val="0"/>
        </w:rPr>
        <w:t xml:space="preserve"> 企业应主动收集国家发布的乳制品安全风险监测、行业和媒体发布的有关乳制品质量安全风险信息，建立风险收集记录，针对相关信息开展自查和评价，并采取有效措施防范食品安全风险。</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b/>
          <w:bCs/>
          <w:color w:val="333333"/>
          <w:kern w:val="0"/>
        </w:rPr>
        <w:t xml:space="preserve">第五十五条 </w:t>
      </w:r>
      <w:r>
        <w:rPr>
          <w:rFonts w:hint="eastAsia" w:ascii="仿宋" w:hAnsi="仿宋" w:cs="仿宋"/>
          <w:bCs/>
          <w:color w:val="333333"/>
          <w:kern w:val="0"/>
        </w:rPr>
        <w:t>企业</w:t>
      </w:r>
      <w:r>
        <w:rPr>
          <w:rFonts w:ascii="仿宋" w:hAnsi="仿宋" w:cs="仿宋"/>
          <w:bCs/>
          <w:color w:val="333333"/>
          <w:kern w:val="0"/>
        </w:rPr>
        <w:t>应</w:t>
      </w:r>
      <w:r>
        <w:rPr>
          <w:rFonts w:hint="eastAsia" w:ascii="仿宋" w:hAnsi="仿宋" w:cs="仿宋"/>
          <w:color w:val="333333"/>
          <w:kern w:val="0"/>
        </w:rPr>
        <w:t>建立消费者投诉处理制度，对消费者提出的意见、投诉等，企业相关部门应作记录并查找原因，妥善处理。</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b/>
          <w:bCs/>
          <w:color w:val="333333"/>
          <w:kern w:val="0"/>
        </w:rPr>
        <w:t>第五十六条</w:t>
      </w:r>
      <w:r>
        <w:rPr>
          <w:rFonts w:hint="eastAsia" w:ascii="仿宋" w:hAnsi="仿宋" w:cs="仿宋"/>
          <w:color w:val="333333"/>
          <w:kern w:val="0"/>
        </w:rPr>
        <w:t xml:space="preserve"> 企业应制定食品安全事故处理制度，对可能发生的食品安全事故或与食品安全有关的特殊事件，预先制定应对的方案和措施，必要时做出响应，以减少食品可能发生安全危害的影响。</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color w:val="333333"/>
          <w:kern w:val="0"/>
        </w:rPr>
        <w:t>特殊事件包括使产品受到不可抗力因素影响的情况，如突然停电、机械故障、自然灾害、突发疫情、恐怖袭击等。保存应急预案实施记录，定期演练并验证其有效性。</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color w:val="333333"/>
          <w:kern w:val="0"/>
        </w:rPr>
        <w:t>当生产条件发生变化，不再符合食品安全要求的，应当立即采取整改措施；有发生食品安全事故潜在风险的，应当立即停止生产，并向所在地县级人民政府市场监督管理部门报告。</w:t>
      </w:r>
    </w:p>
    <w:p>
      <w:pPr>
        <w:shd w:val="clear"/>
        <w:spacing w:line="600" w:lineRule="exact"/>
        <w:ind w:firstLine="153" w:firstLineChars="49"/>
        <w:rPr>
          <w:rFonts w:ascii="仿宋" w:hAnsi="仿宋" w:cs="仿宋"/>
          <w:color w:val="333333"/>
          <w:kern w:val="0"/>
        </w:rPr>
      </w:pPr>
      <w:r>
        <w:rPr>
          <w:rFonts w:hint="eastAsia" w:ascii="仿宋" w:hAnsi="仿宋" w:cs="仿宋"/>
          <w:color w:val="333333"/>
          <w:kern w:val="0"/>
        </w:rPr>
        <w:t xml:space="preserve">   </w:t>
      </w:r>
      <w:r>
        <w:rPr>
          <w:rFonts w:hint="eastAsia" w:ascii="仿宋" w:hAnsi="仿宋" w:cs="仿宋"/>
          <w:b/>
          <w:bCs/>
          <w:color w:val="333333"/>
          <w:kern w:val="0"/>
        </w:rPr>
        <w:t>第五十七条</w:t>
      </w:r>
      <w:r>
        <w:rPr>
          <w:rFonts w:hint="eastAsia" w:ascii="仿宋" w:hAnsi="仿宋" w:cs="仿宋"/>
          <w:color w:val="333333"/>
          <w:kern w:val="0"/>
        </w:rPr>
        <w:t xml:space="preserve"> 企业应建立文件管理制度，并建立完整的食品质量安全管理档案。文件应分类归档、保存，分发和使用应为批准的现行有效文本。已废除或失效的文件除留档备查外，不应在工作现场出现。</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b/>
          <w:bCs/>
          <w:color w:val="333333"/>
          <w:kern w:val="0"/>
        </w:rPr>
        <w:t>第五十八条</w:t>
      </w:r>
      <w:r>
        <w:rPr>
          <w:rFonts w:hint="eastAsia" w:ascii="仿宋" w:hAnsi="仿宋" w:cs="仿宋"/>
          <w:color w:val="333333"/>
          <w:kern w:val="0"/>
        </w:rPr>
        <w:t xml:space="preserve"> 企业应建立记录管理制度，确保记录内容应完整、真实、准确。所有与产品保质期相关的记录（包括电子记录）保存时间不得少于产品保质期满后6个月，其他记录根据其内容及性质另行规定。记录的任何更改都应当标注姓名和日期，并使原有信息仍清晰可查。</w:t>
      </w:r>
    </w:p>
    <w:p>
      <w:pPr>
        <w:shd w:val="clear"/>
        <w:adjustRightInd w:val="0"/>
        <w:snapToGrid w:val="0"/>
        <w:spacing w:line="600" w:lineRule="exact"/>
        <w:ind w:firstLine="624" w:firstLineChars="200"/>
        <w:rPr>
          <w:rFonts w:ascii="仿宋" w:hAnsi="仿宋" w:cs="仿宋"/>
          <w:color w:val="333333"/>
          <w:kern w:val="0"/>
        </w:rPr>
      </w:pPr>
      <w:r>
        <w:rPr>
          <w:rFonts w:hint="eastAsia" w:ascii="仿宋" w:hAnsi="仿宋" w:cs="仿宋"/>
          <w:color w:val="333333"/>
          <w:kern w:val="0"/>
        </w:rPr>
        <w:t>企业建立的台账和生产过程的记录包括但不限于：原辅材料进货查验记录、设备台账、环境场所清洁记录、生产设备消毒记录、设备维修记录、库房保管及物料领取记录、生产投料记录、关键控制点控制记录、出厂检验记录、产品留样记录、不合格产品处置记录、不合格原料处理记录、产品销售记录、不合格产品召回记录、退货处置记录、从业人员健康检查记录、培训记录、消费者投诉受理记录、风险收集记录、食品安全事故处置记录、停产复产记录等。</w:t>
      </w:r>
    </w:p>
    <w:p>
      <w:pPr>
        <w:shd w:val="clear"/>
        <w:adjustRightInd w:val="0"/>
        <w:snapToGrid w:val="0"/>
        <w:spacing w:line="600" w:lineRule="exact"/>
        <w:ind w:firstLine="624" w:firstLineChars="200"/>
        <w:rPr>
          <w:rFonts w:ascii="仿宋" w:hAnsi="仿宋" w:cs="仿宋"/>
          <w:color w:val="333333"/>
          <w:kern w:val="0"/>
        </w:rPr>
      </w:pPr>
    </w:p>
    <w:p>
      <w:pPr>
        <w:widowControl/>
        <w:shd w:val="clear"/>
        <w:spacing w:line="600" w:lineRule="exact"/>
        <w:ind w:left="480" w:firstLine="3120" w:firstLineChars="1000"/>
        <w:rPr>
          <w:rFonts w:ascii="黑体" w:hAnsi="黑体" w:eastAsia="黑体" w:cs="黑体"/>
          <w:color w:val="333333"/>
          <w:kern w:val="0"/>
        </w:rPr>
      </w:pPr>
      <w:r>
        <w:rPr>
          <w:rFonts w:hint="eastAsia" w:ascii="黑体" w:hAnsi="黑体" w:eastAsia="黑体" w:cs="黑体"/>
          <w:color w:val="333333"/>
          <w:kern w:val="0"/>
        </w:rPr>
        <w:t>第七章 试制产品检验</w:t>
      </w:r>
    </w:p>
    <w:p>
      <w:pPr>
        <w:widowControl/>
        <w:shd w:val="clear"/>
        <w:spacing w:line="600" w:lineRule="exact"/>
        <w:ind w:left="480" w:firstLine="3120" w:firstLineChars="1000"/>
        <w:rPr>
          <w:rFonts w:ascii="黑体" w:hAnsi="黑体" w:eastAsia="黑体" w:cs="黑体"/>
          <w:color w:val="333333"/>
          <w:kern w:val="0"/>
        </w:rPr>
      </w:pPr>
    </w:p>
    <w:p>
      <w:pPr>
        <w:widowControl/>
        <w:shd w:val="clear"/>
        <w:spacing w:line="600" w:lineRule="exact"/>
        <w:ind w:firstLine="720"/>
        <w:jc w:val="left"/>
        <w:rPr>
          <w:rFonts w:ascii="仿宋" w:hAnsi="仿宋" w:cs="仿宋"/>
          <w:color w:val="333333"/>
          <w:kern w:val="0"/>
        </w:rPr>
      </w:pPr>
      <w:r>
        <w:rPr>
          <w:rFonts w:hint="eastAsia" w:ascii="仿宋" w:hAnsi="仿宋" w:cs="仿宋"/>
          <w:b/>
          <w:bCs/>
          <w:color w:val="333333"/>
          <w:kern w:val="0"/>
        </w:rPr>
        <w:t>第五十九条</w:t>
      </w:r>
      <w:r>
        <w:rPr>
          <w:rFonts w:hint="eastAsia" w:ascii="仿宋" w:hAnsi="仿宋" w:cs="仿宋"/>
          <w:color w:val="333333"/>
          <w:kern w:val="0"/>
        </w:rPr>
        <w:t> 根据企业所申报奶片的产品，提供试制食品的检验合格报告。检验项目应当包含相应产品标准、法律法规及相关部门公告规定的全部项目。</w:t>
      </w:r>
    </w:p>
    <w:p>
      <w:pPr>
        <w:widowControl/>
        <w:shd w:val="clear"/>
        <w:spacing w:line="600" w:lineRule="exact"/>
        <w:ind w:firstLine="720"/>
        <w:jc w:val="left"/>
        <w:rPr>
          <w:rFonts w:ascii="仿宋" w:hAnsi="仿宋" w:cs="仿宋"/>
          <w:color w:val="333333"/>
          <w:kern w:val="0"/>
        </w:rPr>
      </w:pPr>
    </w:p>
    <w:p>
      <w:pPr>
        <w:widowControl/>
        <w:shd w:val="clear"/>
        <w:spacing w:line="600" w:lineRule="exact"/>
        <w:ind w:left="480" w:firstLine="3120" w:firstLineChars="1000"/>
        <w:rPr>
          <w:rFonts w:ascii="黑体" w:hAnsi="黑体" w:eastAsia="黑体" w:cs="黑体"/>
          <w:color w:val="333333"/>
          <w:kern w:val="0"/>
        </w:rPr>
      </w:pPr>
      <w:r>
        <w:rPr>
          <w:rFonts w:hint="eastAsia" w:ascii="黑体" w:hAnsi="黑体" w:eastAsia="黑体" w:cs="黑体"/>
          <w:color w:val="333333"/>
          <w:kern w:val="0"/>
        </w:rPr>
        <w:t>第八章 附则</w:t>
      </w:r>
    </w:p>
    <w:p>
      <w:pPr>
        <w:widowControl/>
        <w:shd w:val="clear"/>
        <w:spacing w:line="600" w:lineRule="exact"/>
        <w:rPr>
          <w:rFonts w:ascii="黑体" w:hAnsi="黑体" w:eastAsia="黑体" w:cs="黑体"/>
          <w:color w:val="333333"/>
          <w:kern w:val="0"/>
        </w:rPr>
      </w:pPr>
    </w:p>
    <w:p>
      <w:pPr>
        <w:widowControl/>
        <w:shd w:val="clear"/>
        <w:spacing w:line="600" w:lineRule="exact"/>
        <w:ind w:firstLine="620"/>
        <w:jc w:val="left"/>
        <w:rPr>
          <w:rFonts w:ascii="仿宋" w:hAnsi="仿宋" w:cs="仿宋"/>
          <w:color w:val="333333"/>
          <w:kern w:val="0"/>
        </w:rPr>
      </w:pPr>
      <w:r>
        <w:rPr>
          <w:rFonts w:hint="eastAsia" w:ascii="仿宋" w:hAnsi="仿宋" w:cs="仿宋"/>
          <w:b/>
          <w:bCs/>
          <w:color w:val="333333"/>
          <w:kern w:val="0"/>
        </w:rPr>
        <w:t xml:space="preserve">第六十条 </w:t>
      </w:r>
      <w:r>
        <w:rPr>
          <w:rFonts w:hint="eastAsia" w:ascii="仿宋" w:hAnsi="仿宋" w:cs="仿宋"/>
          <w:color w:val="333333"/>
          <w:kern w:val="0"/>
        </w:rPr>
        <w:t>本方案由河北省市场监督管理局负责解释。</w:t>
      </w:r>
    </w:p>
    <w:p>
      <w:pPr>
        <w:widowControl/>
        <w:shd w:val="clear"/>
        <w:spacing w:line="600" w:lineRule="exact"/>
        <w:ind w:firstLine="620"/>
        <w:jc w:val="left"/>
        <w:rPr>
          <w:rFonts w:ascii="仿宋" w:hAnsi="仿宋" w:cs="仿宋"/>
          <w:color w:val="333333"/>
          <w:kern w:val="0"/>
        </w:rPr>
      </w:pPr>
      <w:r>
        <w:rPr>
          <w:rFonts w:hint="eastAsia" w:ascii="仿宋" w:hAnsi="仿宋" w:cs="仿宋"/>
          <w:b/>
          <w:bCs/>
          <w:color w:val="333333"/>
          <w:kern w:val="0"/>
        </w:rPr>
        <w:t>第六十一条</w:t>
      </w:r>
      <w:r>
        <w:rPr>
          <w:rFonts w:ascii="仿宋" w:hAnsi="仿宋" w:cs="仿宋"/>
          <w:color w:val="333333"/>
          <w:kern w:val="0"/>
        </w:rPr>
        <w:t xml:space="preserve"> </w:t>
      </w:r>
      <w:r>
        <w:rPr>
          <w:rFonts w:hint="eastAsia" w:ascii="仿宋" w:hAnsi="仿宋" w:cs="仿宋"/>
          <w:color w:val="333333"/>
          <w:kern w:val="0"/>
        </w:rPr>
        <w:t>本方案自印发之日起施行。</w:t>
      </w:r>
      <w:bookmarkEnd w:id="3"/>
      <w:bookmarkEnd w:id="4"/>
      <w:bookmarkStart w:id="5" w:name="_Toc1540"/>
      <w:bookmarkEnd w:id="5"/>
    </w:p>
    <w:p>
      <w:pPr>
        <w:widowControl/>
        <w:shd w:val="clear"/>
        <w:spacing w:line="600" w:lineRule="exact"/>
        <w:ind w:firstLine="620"/>
        <w:jc w:val="left"/>
        <w:rPr>
          <w:rFonts w:ascii="仿宋" w:hAnsi="仿宋"/>
        </w:rPr>
      </w:pPr>
      <w:r>
        <w:rPr>
          <w:rFonts w:hint="eastAsia" w:ascii="仿宋" w:hAnsi="仿宋" w:cs="仿宋"/>
          <w:b/>
          <w:bCs/>
          <w:color w:val="333333"/>
          <w:kern w:val="0"/>
        </w:rPr>
        <w:t>第六十二条</w:t>
      </w:r>
      <w:r>
        <w:rPr>
          <w:rFonts w:hint="eastAsia" w:ascii="仿宋" w:hAnsi="仿宋" w:cs="仿宋"/>
          <w:color w:val="FF0000"/>
          <w:kern w:val="0"/>
        </w:rPr>
        <w:t xml:space="preserve"> </w:t>
      </w:r>
      <w:r>
        <w:rPr>
          <w:rFonts w:hint="eastAsia" w:ascii="仿宋" w:hAnsi="仿宋" w:cs="仿宋"/>
          <w:kern w:val="0"/>
        </w:rPr>
        <w:t>国家市场监督管理总局发布相关文件规定后，本方案自行废止。</w:t>
      </w:r>
    </w:p>
    <w:sectPr>
      <w:footerReference r:id="rId3" w:type="default"/>
      <w:footerReference r:id="rId4" w:type="even"/>
      <w:pgSz w:w="11906" w:h="16838"/>
      <w:pgMar w:top="2098" w:right="1588" w:bottom="1701" w:left="1588" w:header="851" w:footer="1418" w:gutter="0"/>
      <w:pgBorders>
        <w:top w:val="none" w:sz="0" w:space="0"/>
        <w:left w:val="none" w:sz="0" w:space="0"/>
        <w:bottom w:val="none" w:sz="0" w:space="0"/>
        <w:right w:val="none" w:sz="0" w:space="0"/>
      </w:pgBorders>
      <w:cols w:space="720" w:num="1"/>
      <w:docGrid w:type="linesAndChars" w:linePitch="592"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335CD1B-7B5E-46CB-AD12-A4CD6A7B13AD}"/>
  </w:font>
  <w:font w:name="Arial">
    <w:panose1 w:val="020B0604020202020204"/>
    <w:charset w:val="01"/>
    <w:family w:val="swiss"/>
    <w:pitch w:val="default"/>
    <w:sig w:usb0="E0002AFF" w:usb1="C0007843" w:usb2="00000009" w:usb3="00000000" w:csb0="400001FF" w:csb1="FFFF0000"/>
    <w:embedRegular r:id="rId2" w:fontKey="{D9B4F6CA-DBDD-4435-A1F7-28286D0C6051}"/>
  </w:font>
  <w:font w:name="黑体">
    <w:panose1 w:val="02010609060101010101"/>
    <w:charset w:val="86"/>
    <w:family w:val="auto"/>
    <w:pitch w:val="default"/>
    <w:sig w:usb0="800002BF" w:usb1="38CF7CFA" w:usb2="00000016" w:usb3="00000000" w:csb0="00040001" w:csb1="00000000"/>
    <w:embedRegular r:id="rId3" w:fontKey="{FE85D171-6184-4302-A9DB-B3BD017DFFC1}"/>
  </w:font>
  <w:font w:name="Courier New">
    <w:panose1 w:val="02070309020205020404"/>
    <w:charset w:val="01"/>
    <w:family w:val="modern"/>
    <w:pitch w:val="default"/>
    <w:sig w:usb0="E0002AFF" w:usb1="C0007843" w:usb2="00000009" w:usb3="00000000" w:csb0="400001FF" w:csb1="FFFF0000"/>
    <w:embedRegular r:id="rId4" w:fontKey="{612AFFDA-707B-45FD-B348-76972395C5DF}"/>
  </w:font>
  <w:font w:name="Symbol">
    <w:panose1 w:val="05050102010706020507"/>
    <w:charset w:val="02"/>
    <w:family w:val="roman"/>
    <w:pitch w:val="default"/>
    <w:sig w:usb0="00000000" w:usb1="00000000" w:usb2="00000000" w:usb3="00000000" w:csb0="80000000" w:csb1="00000000"/>
    <w:embedRegular r:id="rId5" w:fontKey="{D7DE3E08-F49C-439A-8B3C-C7CBC6D249AE}"/>
  </w:font>
  <w:font w:name="Calibri">
    <w:panose1 w:val="020F0502020204030204"/>
    <w:charset w:val="00"/>
    <w:family w:val="swiss"/>
    <w:pitch w:val="default"/>
    <w:sig w:usb0="E00002FF" w:usb1="4000ACFF" w:usb2="00000001" w:usb3="00000000" w:csb0="2000019F" w:csb1="00000000"/>
    <w:embedRegular r:id="rId6" w:fontKey="{4918BDCD-805E-40BE-B530-15AA2F6A6922}"/>
  </w:font>
  <w:font w:name="仿宋">
    <w:panose1 w:val="02010609060101010101"/>
    <w:charset w:val="86"/>
    <w:family w:val="modern"/>
    <w:pitch w:val="default"/>
    <w:sig w:usb0="800002BF" w:usb1="38CF7CFA" w:usb2="00000016" w:usb3="00000000" w:csb0="00040001" w:csb1="00000000"/>
    <w:embedRegular r:id="rId7" w:fontKey="{3115B910-C776-4931-8184-6A70E49C7A9B}"/>
  </w:font>
  <w:font w:name="仿宋_GB2312">
    <w:panose1 w:val="02010609030101010101"/>
    <w:charset w:val="86"/>
    <w:family w:val="auto"/>
    <w:pitch w:val="default"/>
    <w:sig w:usb0="00000001" w:usb1="080E0000" w:usb2="00000000" w:usb3="00000000" w:csb0="00040000" w:csb1="00000000"/>
  </w:font>
  <w:font w:name="方正公文小标宋">
    <w:altName w:val="方正小标宋_GBK"/>
    <w:panose1 w:val="00000000000000000000"/>
    <w:charset w:val="86"/>
    <w:family w:val="auto"/>
    <w:pitch w:val="default"/>
    <w:sig w:usb0="00000000" w:usb1="00000000" w:usb2="00000016" w:usb3="00000000" w:csb0="00040001" w:csb1="00000000"/>
    <w:embedRegular r:id="rId8" w:fontKey="{CA221950-0F0A-4F30-9525-70BE7629E966}"/>
  </w:font>
  <w:font w:name="方正小标宋_GBK">
    <w:panose1 w:val="03000509000000000000"/>
    <w:charset w:val="86"/>
    <w:family w:val="auto"/>
    <w:pitch w:val="default"/>
    <w:sig w:usb0="00000001" w:usb1="080E0000" w:usb2="00000000" w:usb3="00000000" w:csb0="00040000" w:csb1="00000000"/>
    <w:embedRegular r:id="rId9" w:fontKey="{CEA8C237-12F9-4ED7-83AF-AE5E3D7AE35C}"/>
  </w:font>
  <w:font w:name="方正黑体_GBK">
    <w:altName w:val="Arial Unicode MS"/>
    <w:panose1 w:val="02000000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新宋体">
    <w:panose1 w:val="02010609030101010101"/>
    <w:charset w:val="86"/>
    <w:family w:val="modern"/>
    <w:pitch w:val="default"/>
    <w:sig w:usb0="00000003" w:usb1="288F0000" w:usb2="00000006" w:usb3="00000000" w:csb0="00040001" w:csb1="00000000"/>
    <w:embedRegular r:id="rId10" w:fontKey="{5C40CF13-3C27-4CF7-B9EF-C39BD27442A0}"/>
  </w:font>
  <w:font w:name="CESI黑体-GB13000">
    <w:altName w:val="黑体"/>
    <w:panose1 w:val="02000500000000000000"/>
    <w:charset w:val="86"/>
    <w:family w:val="auto"/>
    <w:pitch w:val="default"/>
    <w:sig w:usb0="00000000" w:usb1="00000000" w:usb2="00000016" w:usb3="00000000" w:csb0="0004000F" w:csb1="00000000"/>
  </w:font>
  <w:font w:name="Calibri Light">
    <w:panose1 w:val="020F0302020204030204"/>
    <w:charset w:val="00"/>
    <w:family w:val="auto"/>
    <w:pitch w:val="default"/>
    <w:sig w:usb0="A00002EF" w:usb1="4000207B" w:usb2="00000000" w:usb3="00000000" w:csb0="2000019F" w:csb1="00000000"/>
    <w:embedRegular r:id="rId11" w:fontKey="{3F59218F-67DC-4999-AF5D-375AB6D83B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ind w:left="320" w:leftChars="100" w:right="320" w:rightChars="100"/>
                            <w:rPr>
                              <w:rStyle w:val="15"/>
                              <w:rFonts w:ascii="宋体" w:hAnsi="宋体"/>
                              <w:sz w:val="28"/>
                            </w:rPr>
                          </w:pPr>
                          <w:r>
                            <w:rPr>
                              <w:rStyle w:val="15"/>
                              <w:rFonts w:hint="eastAsia" w:ascii="宋体" w:hAnsi="宋体"/>
                              <w:sz w:val="28"/>
                            </w:rPr>
                            <w:t xml:space="preserve">— </w:t>
                          </w:r>
                          <w:r>
                            <w:rPr>
                              <w:rFonts w:ascii="宋体" w:hAnsi="宋体"/>
                              <w:sz w:val="28"/>
                            </w:rPr>
                            <w:fldChar w:fldCharType="begin"/>
                          </w:r>
                          <w:r>
                            <w:rPr>
                              <w:rStyle w:val="15"/>
                              <w:rFonts w:ascii="宋体" w:hAnsi="宋体"/>
                              <w:sz w:val="28"/>
                            </w:rPr>
                            <w:instrText xml:space="preserve">PAGE  </w:instrText>
                          </w:r>
                          <w:r>
                            <w:rPr>
                              <w:rFonts w:ascii="宋体" w:hAnsi="宋体"/>
                              <w:sz w:val="28"/>
                            </w:rPr>
                            <w:fldChar w:fldCharType="separate"/>
                          </w:r>
                          <w:r>
                            <w:rPr>
                              <w:rStyle w:val="15"/>
                              <w:rFonts w:ascii="宋体" w:hAnsi="宋体"/>
                              <w:sz w:val="28"/>
                            </w:rPr>
                            <w:t>18</w:t>
                          </w:r>
                          <w:r>
                            <w:rPr>
                              <w:rFonts w:ascii="宋体" w:hAnsi="宋体"/>
                              <w:sz w:val="28"/>
                            </w:rPr>
                            <w:fldChar w:fldCharType="end"/>
                          </w:r>
                          <w:r>
                            <w:rPr>
                              <w:rStyle w:val="15"/>
                              <w:rFonts w:hint="eastAsia" w:ascii="宋体" w:hAnsi="宋体"/>
                              <w:sz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7"/>
                      <w:ind w:left="320" w:leftChars="100" w:right="320" w:rightChars="100"/>
                      <w:rPr>
                        <w:rStyle w:val="15"/>
                        <w:rFonts w:ascii="宋体" w:hAnsi="宋体"/>
                        <w:sz w:val="28"/>
                      </w:rPr>
                    </w:pPr>
                    <w:r>
                      <w:rPr>
                        <w:rStyle w:val="15"/>
                        <w:rFonts w:hint="eastAsia" w:ascii="宋体" w:hAnsi="宋体"/>
                        <w:sz w:val="28"/>
                      </w:rPr>
                      <w:t xml:space="preserve">— </w:t>
                    </w:r>
                    <w:r>
                      <w:rPr>
                        <w:rFonts w:ascii="宋体" w:hAnsi="宋体"/>
                        <w:sz w:val="28"/>
                      </w:rPr>
                      <w:fldChar w:fldCharType="begin"/>
                    </w:r>
                    <w:r>
                      <w:rPr>
                        <w:rStyle w:val="15"/>
                        <w:rFonts w:ascii="宋体" w:hAnsi="宋体"/>
                        <w:sz w:val="28"/>
                      </w:rPr>
                      <w:instrText xml:space="preserve">PAGE  </w:instrText>
                    </w:r>
                    <w:r>
                      <w:rPr>
                        <w:rFonts w:ascii="宋体" w:hAnsi="宋体"/>
                        <w:sz w:val="28"/>
                      </w:rPr>
                      <w:fldChar w:fldCharType="separate"/>
                    </w:r>
                    <w:r>
                      <w:rPr>
                        <w:rStyle w:val="15"/>
                        <w:rFonts w:ascii="宋体" w:hAnsi="宋体"/>
                        <w:sz w:val="28"/>
                      </w:rPr>
                      <w:t>18</w:t>
                    </w:r>
                    <w:r>
                      <w:rPr>
                        <w:rFonts w:ascii="宋体" w:hAnsi="宋体"/>
                        <w:sz w:val="28"/>
                      </w:rPr>
                      <w:fldChar w:fldCharType="end"/>
                    </w:r>
                    <w:r>
                      <w:rPr>
                        <w:rStyle w:val="15"/>
                        <w:rFonts w:hint="eastAsia" w:ascii="宋体" w:hAnsi="宋体"/>
                        <w:sz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ind w:left="320" w:leftChars="100"/>
      <w:rPr>
        <w:rStyle w:val="15"/>
        <w:rFonts w:ascii="宋体" w:hAnsi="宋体"/>
        <w:sz w:val="28"/>
      </w:rPr>
    </w:pPr>
    <w:r>
      <w:rPr>
        <w:rStyle w:val="15"/>
        <w:rFonts w:hint="eastAsia" w:ascii="宋体" w:hAnsi="宋体"/>
        <w:sz w:val="28"/>
      </w:rPr>
      <w:t xml:space="preserve">— </w:t>
    </w:r>
    <w:r>
      <w:rPr>
        <w:rFonts w:ascii="宋体" w:hAnsi="宋体"/>
        <w:sz w:val="28"/>
      </w:rPr>
      <w:fldChar w:fldCharType="begin"/>
    </w:r>
    <w:r>
      <w:rPr>
        <w:rStyle w:val="15"/>
        <w:rFonts w:ascii="宋体" w:hAnsi="宋体"/>
        <w:sz w:val="28"/>
      </w:rPr>
      <w:instrText xml:space="preserve">PAGE  </w:instrText>
    </w:r>
    <w:r>
      <w:rPr>
        <w:rFonts w:ascii="宋体" w:hAnsi="宋体"/>
        <w:sz w:val="28"/>
      </w:rPr>
      <w:fldChar w:fldCharType="separate"/>
    </w:r>
    <w:r>
      <w:rPr>
        <w:rStyle w:val="15"/>
        <w:rFonts w:ascii="宋体" w:hAnsi="宋体"/>
        <w:sz w:val="28"/>
      </w:rPr>
      <w:t>2</w:t>
    </w:r>
    <w:r>
      <w:rPr>
        <w:rFonts w:ascii="宋体" w:hAnsi="宋体"/>
        <w:sz w:val="28"/>
      </w:rPr>
      <w:fldChar w:fldCharType="end"/>
    </w:r>
    <w:r>
      <w:rPr>
        <w:rStyle w:val="15"/>
        <w:rFonts w:hint="eastAsia" w:ascii="宋体" w:hAnsi="宋体"/>
        <w:sz w:val="28"/>
      </w:rPr>
      <w:t xml:space="preserve"> —</w:t>
    </w:r>
  </w:p>
  <w:p>
    <w:pPr>
      <w:pStyle w:val="7"/>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7EA910"/>
    <w:multiLevelType w:val="singleLevel"/>
    <w:tmpl w:val="F37EA910"/>
    <w:lvl w:ilvl="0" w:tentative="0">
      <w:start w:val="3"/>
      <w:numFmt w:val="chineseCounting"/>
      <w:suff w:val="space"/>
      <w:lvlText w:val="第%1章"/>
      <w:lvlJc w:val="left"/>
      <w:rPr>
        <w:rFonts w:hint="eastAsia"/>
      </w:rPr>
    </w:lvl>
  </w:abstractNum>
  <w:abstractNum w:abstractNumId="1">
    <w:nsid w:val="623680CA"/>
    <w:multiLevelType w:val="singleLevel"/>
    <w:tmpl w:val="623680CA"/>
    <w:lvl w:ilvl="0" w:tentative="0">
      <w:start w:val="1"/>
      <w:numFmt w:val="chineseCounting"/>
      <w:suff w:val="space"/>
      <w:lvlText w:val="第%1章"/>
      <w:lvlJc w:val="left"/>
      <w:rPr>
        <w:rFonts w:hint="eastAsia" w:ascii="黑体" w:hAnsi="黑体" w:eastAsia="黑体" w:cs="黑体"/>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CB4"/>
    <w:rsid w:val="00013EE2"/>
    <w:rsid w:val="00020C08"/>
    <w:rsid w:val="000307C5"/>
    <w:rsid w:val="0003377C"/>
    <w:rsid w:val="00044EF2"/>
    <w:rsid w:val="00051AB8"/>
    <w:rsid w:val="00060CB4"/>
    <w:rsid w:val="00061C1B"/>
    <w:rsid w:val="00061EA0"/>
    <w:rsid w:val="00081C0A"/>
    <w:rsid w:val="000822D0"/>
    <w:rsid w:val="000854AE"/>
    <w:rsid w:val="00087D62"/>
    <w:rsid w:val="000B319B"/>
    <w:rsid w:val="000B78EA"/>
    <w:rsid w:val="000D176B"/>
    <w:rsid w:val="000E3377"/>
    <w:rsid w:val="000F2CCC"/>
    <w:rsid w:val="000F544D"/>
    <w:rsid w:val="000F711B"/>
    <w:rsid w:val="00105F81"/>
    <w:rsid w:val="001152EA"/>
    <w:rsid w:val="001200C0"/>
    <w:rsid w:val="00133652"/>
    <w:rsid w:val="0013432D"/>
    <w:rsid w:val="00143DCD"/>
    <w:rsid w:val="00163E0A"/>
    <w:rsid w:val="00190106"/>
    <w:rsid w:val="001A2968"/>
    <w:rsid w:val="001E058A"/>
    <w:rsid w:val="001E05CB"/>
    <w:rsid w:val="001E4BD1"/>
    <w:rsid w:val="00200DE2"/>
    <w:rsid w:val="00200EAA"/>
    <w:rsid w:val="00207A00"/>
    <w:rsid w:val="00213AB2"/>
    <w:rsid w:val="002140AB"/>
    <w:rsid w:val="002151C6"/>
    <w:rsid w:val="00217D32"/>
    <w:rsid w:val="002333CB"/>
    <w:rsid w:val="00234CDD"/>
    <w:rsid w:val="00241AB7"/>
    <w:rsid w:val="00254A5C"/>
    <w:rsid w:val="00287379"/>
    <w:rsid w:val="002A4133"/>
    <w:rsid w:val="002B51FA"/>
    <w:rsid w:val="002B67FE"/>
    <w:rsid w:val="002D4F7E"/>
    <w:rsid w:val="002F1A1F"/>
    <w:rsid w:val="002F573B"/>
    <w:rsid w:val="0031185C"/>
    <w:rsid w:val="00311E8B"/>
    <w:rsid w:val="00315963"/>
    <w:rsid w:val="0033276D"/>
    <w:rsid w:val="00334A6B"/>
    <w:rsid w:val="00335E05"/>
    <w:rsid w:val="00342052"/>
    <w:rsid w:val="00350C0A"/>
    <w:rsid w:val="00353624"/>
    <w:rsid w:val="0035372C"/>
    <w:rsid w:val="00360F4A"/>
    <w:rsid w:val="003717AC"/>
    <w:rsid w:val="00372B75"/>
    <w:rsid w:val="00396A56"/>
    <w:rsid w:val="003A1CA7"/>
    <w:rsid w:val="003B5453"/>
    <w:rsid w:val="003B54C1"/>
    <w:rsid w:val="003C0824"/>
    <w:rsid w:val="003C1328"/>
    <w:rsid w:val="003C143E"/>
    <w:rsid w:val="003C2ABC"/>
    <w:rsid w:val="003C2F93"/>
    <w:rsid w:val="003D1178"/>
    <w:rsid w:val="003D281E"/>
    <w:rsid w:val="003E2464"/>
    <w:rsid w:val="003F014F"/>
    <w:rsid w:val="00406943"/>
    <w:rsid w:val="00417A07"/>
    <w:rsid w:val="00425DB4"/>
    <w:rsid w:val="00446862"/>
    <w:rsid w:val="00456F52"/>
    <w:rsid w:val="0046219F"/>
    <w:rsid w:val="00463D03"/>
    <w:rsid w:val="00467B28"/>
    <w:rsid w:val="00482300"/>
    <w:rsid w:val="00485E6F"/>
    <w:rsid w:val="0049747D"/>
    <w:rsid w:val="004C52B8"/>
    <w:rsid w:val="004C6F4F"/>
    <w:rsid w:val="004D2474"/>
    <w:rsid w:val="004D72EE"/>
    <w:rsid w:val="004E0280"/>
    <w:rsid w:val="004E4935"/>
    <w:rsid w:val="004E4B04"/>
    <w:rsid w:val="005231B4"/>
    <w:rsid w:val="005458C5"/>
    <w:rsid w:val="0056671C"/>
    <w:rsid w:val="005672F5"/>
    <w:rsid w:val="005770D1"/>
    <w:rsid w:val="00583C41"/>
    <w:rsid w:val="00591BA2"/>
    <w:rsid w:val="00595754"/>
    <w:rsid w:val="005C738C"/>
    <w:rsid w:val="005C756E"/>
    <w:rsid w:val="005D1831"/>
    <w:rsid w:val="005D3D12"/>
    <w:rsid w:val="005E3318"/>
    <w:rsid w:val="005E5234"/>
    <w:rsid w:val="005E530D"/>
    <w:rsid w:val="005E7802"/>
    <w:rsid w:val="00601D62"/>
    <w:rsid w:val="00601EEF"/>
    <w:rsid w:val="00605A36"/>
    <w:rsid w:val="00612E47"/>
    <w:rsid w:val="00617441"/>
    <w:rsid w:val="00623BC5"/>
    <w:rsid w:val="00630E69"/>
    <w:rsid w:val="0063581C"/>
    <w:rsid w:val="0063766D"/>
    <w:rsid w:val="0064492B"/>
    <w:rsid w:val="006507D5"/>
    <w:rsid w:val="00661695"/>
    <w:rsid w:val="006617E0"/>
    <w:rsid w:val="00661BBE"/>
    <w:rsid w:val="00667FB6"/>
    <w:rsid w:val="00670FE3"/>
    <w:rsid w:val="00676C78"/>
    <w:rsid w:val="006912A0"/>
    <w:rsid w:val="006A630A"/>
    <w:rsid w:val="006B544C"/>
    <w:rsid w:val="006C7336"/>
    <w:rsid w:val="006D79EF"/>
    <w:rsid w:val="006E0B2C"/>
    <w:rsid w:val="006E7B7A"/>
    <w:rsid w:val="006F720E"/>
    <w:rsid w:val="00702123"/>
    <w:rsid w:val="007275F4"/>
    <w:rsid w:val="007278E9"/>
    <w:rsid w:val="007374DD"/>
    <w:rsid w:val="00773916"/>
    <w:rsid w:val="007745C7"/>
    <w:rsid w:val="007819E2"/>
    <w:rsid w:val="007A38CF"/>
    <w:rsid w:val="007B17F3"/>
    <w:rsid w:val="007B2E8C"/>
    <w:rsid w:val="007C7E6E"/>
    <w:rsid w:val="007D7810"/>
    <w:rsid w:val="007E109C"/>
    <w:rsid w:val="007E208E"/>
    <w:rsid w:val="00806BE3"/>
    <w:rsid w:val="00815062"/>
    <w:rsid w:val="0086580F"/>
    <w:rsid w:val="00874AB6"/>
    <w:rsid w:val="008751EF"/>
    <w:rsid w:val="00876D73"/>
    <w:rsid w:val="00881F93"/>
    <w:rsid w:val="00891C70"/>
    <w:rsid w:val="008A7ED5"/>
    <w:rsid w:val="008B1AFA"/>
    <w:rsid w:val="008B2D1D"/>
    <w:rsid w:val="008D47B3"/>
    <w:rsid w:val="00916A15"/>
    <w:rsid w:val="00922EAE"/>
    <w:rsid w:val="00932520"/>
    <w:rsid w:val="00937FD1"/>
    <w:rsid w:val="00941C50"/>
    <w:rsid w:val="00980D19"/>
    <w:rsid w:val="00985533"/>
    <w:rsid w:val="00986682"/>
    <w:rsid w:val="009906A4"/>
    <w:rsid w:val="009B1457"/>
    <w:rsid w:val="009B615A"/>
    <w:rsid w:val="009C4CDE"/>
    <w:rsid w:val="009E5178"/>
    <w:rsid w:val="009E6BD9"/>
    <w:rsid w:val="009F22F6"/>
    <w:rsid w:val="00A2093C"/>
    <w:rsid w:val="00A25A83"/>
    <w:rsid w:val="00A27F28"/>
    <w:rsid w:val="00A46BFC"/>
    <w:rsid w:val="00A54C85"/>
    <w:rsid w:val="00A64935"/>
    <w:rsid w:val="00A64F6B"/>
    <w:rsid w:val="00A7371E"/>
    <w:rsid w:val="00A77F5A"/>
    <w:rsid w:val="00A93291"/>
    <w:rsid w:val="00AA0A9C"/>
    <w:rsid w:val="00AA6951"/>
    <w:rsid w:val="00AA756E"/>
    <w:rsid w:val="00AA7C36"/>
    <w:rsid w:val="00AB0245"/>
    <w:rsid w:val="00AB08F6"/>
    <w:rsid w:val="00AD0B7E"/>
    <w:rsid w:val="00AD6030"/>
    <w:rsid w:val="00AE4635"/>
    <w:rsid w:val="00AF2F50"/>
    <w:rsid w:val="00AF4FCC"/>
    <w:rsid w:val="00B20370"/>
    <w:rsid w:val="00B3449C"/>
    <w:rsid w:val="00B378AB"/>
    <w:rsid w:val="00B41E8D"/>
    <w:rsid w:val="00B76C5B"/>
    <w:rsid w:val="00B8493A"/>
    <w:rsid w:val="00B9606F"/>
    <w:rsid w:val="00BA2128"/>
    <w:rsid w:val="00BA5408"/>
    <w:rsid w:val="00BA7F15"/>
    <w:rsid w:val="00BB23DC"/>
    <w:rsid w:val="00BB320F"/>
    <w:rsid w:val="00BE4D39"/>
    <w:rsid w:val="00BF57D5"/>
    <w:rsid w:val="00BF5948"/>
    <w:rsid w:val="00C31B67"/>
    <w:rsid w:val="00C371F6"/>
    <w:rsid w:val="00C4324B"/>
    <w:rsid w:val="00C852EA"/>
    <w:rsid w:val="00C865F2"/>
    <w:rsid w:val="00CA0F69"/>
    <w:rsid w:val="00CD79DA"/>
    <w:rsid w:val="00CE09F8"/>
    <w:rsid w:val="00CF257F"/>
    <w:rsid w:val="00CF2D07"/>
    <w:rsid w:val="00D04EC8"/>
    <w:rsid w:val="00D210D8"/>
    <w:rsid w:val="00D307AE"/>
    <w:rsid w:val="00D36251"/>
    <w:rsid w:val="00D37434"/>
    <w:rsid w:val="00D603A9"/>
    <w:rsid w:val="00D6676C"/>
    <w:rsid w:val="00D84943"/>
    <w:rsid w:val="00D87E8D"/>
    <w:rsid w:val="00DA5B1E"/>
    <w:rsid w:val="00DB1CC3"/>
    <w:rsid w:val="00DC2562"/>
    <w:rsid w:val="00DC28F1"/>
    <w:rsid w:val="00DC7B62"/>
    <w:rsid w:val="00DE34F0"/>
    <w:rsid w:val="00DF46A5"/>
    <w:rsid w:val="00DF55C7"/>
    <w:rsid w:val="00DF62C6"/>
    <w:rsid w:val="00E05F6A"/>
    <w:rsid w:val="00E12439"/>
    <w:rsid w:val="00E166B6"/>
    <w:rsid w:val="00E20E3E"/>
    <w:rsid w:val="00E20EFF"/>
    <w:rsid w:val="00E44A42"/>
    <w:rsid w:val="00E4768E"/>
    <w:rsid w:val="00E47A74"/>
    <w:rsid w:val="00E56501"/>
    <w:rsid w:val="00E7198B"/>
    <w:rsid w:val="00EA657E"/>
    <w:rsid w:val="00EB349B"/>
    <w:rsid w:val="00EC356E"/>
    <w:rsid w:val="00ED0011"/>
    <w:rsid w:val="00ED4C1D"/>
    <w:rsid w:val="00EE4C6D"/>
    <w:rsid w:val="00EF2CB8"/>
    <w:rsid w:val="00EF5E22"/>
    <w:rsid w:val="00EF69E6"/>
    <w:rsid w:val="00F00310"/>
    <w:rsid w:val="00F00874"/>
    <w:rsid w:val="00F13BD9"/>
    <w:rsid w:val="00F21662"/>
    <w:rsid w:val="00F21879"/>
    <w:rsid w:val="00F3435A"/>
    <w:rsid w:val="00F34403"/>
    <w:rsid w:val="00F50AFE"/>
    <w:rsid w:val="00F53357"/>
    <w:rsid w:val="00F571C6"/>
    <w:rsid w:val="00FB55C6"/>
    <w:rsid w:val="00FD2538"/>
    <w:rsid w:val="00FF32DC"/>
    <w:rsid w:val="01211AD4"/>
    <w:rsid w:val="014A2DD9"/>
    <w:rsid w:val="01565C22"/>
    <w:rsid w:val="01B3097E"/>
    <w:rsid w:val="02225B04"/>
    <w:rsid w:val="022278B2"/>
    <w:rsid w:val="023B6BC5"/>
    <w:rsid w:val="029702A0"/>
    <w:rsid w:val="02D768EE"/>
    <w:rsid w:val="02DA4630"/>
    <w:rsid w:val="02E62FD5"/>
    <w:rsid w:val="0321400D"/>
    <w:rsid w:val="032338E1"/>
    <w:rsid w:val="033D294B"/>
    <w:rsid w:val="03561F09"/>
    <w:rsid w:val="038D16A3"/>
    <w:rsid w:val="03C2134C"/>
    <w:rsid w:val="0414147C"/>
    <w:rsid w:val="047A6022"/>
    <w:rsid w:val="048605CC"/>
    <w:rsid w:val="04E43544"/>
    <w:rsid w:val="04ED41A7"/>
    <w:rsid w:val="04F056CF"/>
    <w:rsid w:val="053C6EDC"/>
    <w:rsid w:val="05483AD3"/>
    <w:rsid w:val="057F6DC9"/>
    <w:rsid w:val="059211F2"/>
    <w:rsid w:val="059E48B2"/>
    <w:rsid w:val="05AC4062"/>
    <w:rsid w:val="05C80770"/>
    <w:rsid w:val="05FB28F4"/>
    <w:rsid w:val="06093262"/>
    <w:rsid w:val="06253E14"/>
    <w:rsid w:val="067F52D3"/>
    <w:rsid w:val="06976AC0"/>
    <w:rsid w:val="07021DFF"/>
    <w:rsid w:val="070E6657"/>
    <w:rsid w:val="07375BAD"/>
    <w:rsid w:val="0764271A"/>
    <w:rsid w:val="0768220B"/>
    <w:rsid w:val="07AD5E6F"/>
    <w:rsid w:val="07BA233A"/>
    <w:rsid w:val="07C37441"/>
    <w:rsid w:val="07F41CF0"/>
    <w:rsid w:val="07F910B5"/>
    <w:rsid w:val="08004989"/>
    <w:rsid w:val="081510FF"/>
    <w:rsid w:val="082F2D28"/>
    <w:rsid w:val="083D71F3"/>
    <w:rsid w:val="08577C56"/>
    <w:rsid w:val="089F1C5C"/>
    <w:rsid w:val="08C6368D"/>
    <w:rsid w:val="08DF02AB"/>
    <w:rsid w:val="08E229AA"/>
    <w:rsid w:val="09072503"/>
    <w:rsid w:val="093E733B"/>
    <w:rsid w:val="09554A11"/>
    <w:rsid w:val="09A84B40"/>
    <w:rsid w:val="09C87DBA"/>
    <w:rsid w:val="0A2D14EA"/>
    <w:rsid w:val="0A5E16A3"/>
    <w:rsid w:val="0A7333A0"/>
    <w:rsid w:val="0A83110A"/>
    <w:rsid w:val="0A850B41"/>
    <w:rsid w:val="0A856C30"/>
    <w:rsid w:val="0AA55524"/>
    <w:rsid w:val="0AE147AE"/>
    <w:rsid w:val="0B095AB3"/>
    <w:rsid w:val="0B1B1342"/>
    <w:rsid w:val="0B2F77D2"/>
    <w:rsid w:val="0B4E7969"/>
    <w:rsid w:val="0B7E024F"/>
    <w:rsid w:val="0B996E37"/>
    <w:rsid w:val="0BB76664"/>
    <w:rsid w:val="0BC65752"/>
    <w:rsid w:val="0C232BA4"/>
    <w:rsid w:val="0C252478"/>
    <w:rsid w:val="0C7D0506"/>
    <w:rsid w:val="0C8A2C23"/>
    <w:rsid w:val="0CCC323C"/>
    <w:rsid w:val="0CDE6ACB"/>
    <w:rsid w:val="0D350DE1"/>
    <w:rsid w:val="0D35493D"/>
    <w:rsid w:val="0D576FA9"/>
    <w:rsid w:val="0DA41AC3"/>
    <w:rsid w:val="0DD95C10"/>
    <w:rsid w:val="0E0D58BA"/>
    <w:rsid w:val="0E417312"/>
    <w:rsid w:val="0E5C239D"/>
    <w:rsid w:val="0ED85EC8"/>
    <w:rsid w:val="0EE02FCE"/>
    <w:rsid w:val="0EE505E5"/>
    <w:rsid w:val="0EF32D02"/>
    <w:rsid w:val="0F4946D0"/>
    <w:rsid w:val="0F803E6A"/>
    <w:rsid w:val="0FAB0EE6"/>
    <w:rsid w:val="0FE32D76"/>
    <w:rsid w:val="101271B8"/>
    <w:rsid w:val="10163066"/>
    <w:rsid w:val="101833B4"/>
    <w:rsid w:val="10A8197A"/>
    <w:rsid w:val="10C2298C"/>
    <w:rsid w:val="10FB7C4C"/>
    <w:rsid w:val="11005262"/>
    <w:rsid w:val="112076B2"/>
    <w:rsid w:val="113A4C18"/>
    <w:rsid w:val="113B44EC"/>
    <w:rsid w:val="117B6FDE"/>
    <w:rsid w:val="11CB1D14"/>
    <w:rsid w:val="11DD1A47"/>
    <w:rsid w:val="120B2110"/>
    <w:rsid w:val="123F1DBA"/>
    <w:rsid w:val="1255782F"/>
    <w:rsid w:val="126F08F1"/>
    <w:rsid w:val="12ED1816"/>
    <w:rsid w:val="13351ED1"/>
    <w:rsid w:val="13392CAD"/>
    <w:rsid w:val="1360648C"/>
    <w:rsid w:val="13693592"/>
    <w:rsid w:val="13A24CF6"/>
    <w:rsid w:val="141A663B"/>
    <w:rsid w:val="14757D15"/>
    <w:rsid w:val="156404B5"/>
    <w:rsid w:val="156D6C3E"/>
    <w:rsid w:val="15D1541F"/>
    <w:rsid w:val="15D171CD"/>
    <w:rsid w:val="16005D04"/>
    <w:rsid w:val="165B4E46"/>
    <w:rsid w:val="169E17A5"/>
    <w:rsid w:val="16A36DBB"/>
    <w:rsid w:val="16BF171B"/>
    <w:rsid w:val="16F2389F"/>
    <w:rsid w:val="171C091C"/>
    <w:rsid w:val="1723614E"/>
    <w:rsid w:val="172E631D"/>
    <w:rsid w:val="174165D4"/>
    <w:rsid w:val="17424826"/>
    <w:rsid w:val="175C51BC"/>
    <w:rsid w:val="17683B61"/>
    <w:rsid w:val="17740758"/>
    <w:rsid w:val="17B374D2"/>
    <w:rsid w:val="181A12FF"/>
    <w:rsid w:val="181B0BD3"/>
    <w:rsid w:val="1845570A"/>
    <w:rsid w:val="185B5474"/>
    <w:rsid w:val="18673E19"/>
    <w:rsid w:val="18846779"/>
    <w:rsid w:val="189C1D14"/>
    <w:rsid w:val="18A62B93"/>
    <w:rsid w:val="18B057C0"/>
    <w:rsid w:val="19067AD5"/>
    <w:rsid w:val="197B7B7C"/>
    <w:rsid w:val="19874772"/>
    <w:rsid w:val="198C7FDB"/>
    <w:rsid w:val="19AA0461"/>
    <w:rsid w:val="19AE61A3"/>
    <w:rsid w:val="19C84D8B"/>
    <w:rsid w:val="19D35C0A"/>
    <w:rsid w:val="19DB4ABE"/>
    <w:rsid w:val="1A245885"/>
    <w:rsid w:val="1A2521DD"/>
    <w:rsid w:val="1A2F18F5"/>
    <w:rsid w:val="1A3D3083"/>
    <w:rsid w:val="1A475CB0"/>
    <w:rsid w:val="1A4D00A7"/>
    <w:rsid w:val="1A696601"/>
    <w:rsid w:val="1ABF7F3C"/>
    <w:rsid w:val="1AC4100B"/>
    <w:rsid w:val="1AC55BC3"/>
    <w:rsid w:val="1ACE63D1"/>
    <w:rsid w:val="1B1C0EEA"/>
    <w:rsid w:val="1B4B5C73"/>
    <w:rsid w:val="1B903686"/>
    <w:rsid w:val="1BAC6712"/>
    <w:rsid w:val="1C0C0F5F"/>
    <w:rsid w:val="1C536B8E"/>
    <w:rsid w:val="1C8B27CB"/>
    <w:rsid w:val="1C901B90"/>
    <w:rsid w:val="1CDB4964"/>
    <w:rsid w:val="1CF75E4E"/>
    <w:rsid w:val="1D04257E"/>
    <w:rsid w:val="1D2D73DF"/>
    <w:rsid w:val="1D37025D"/>
    <w:rsid w:val="1DB7139E"/>
    <w:rsid w:val="1DCB06DE"/>
    <w:rsid w:val="1DD91315"/>
    <w:rsid w:val="1DE12009"/>
    <w:rsid w:val="1DE63A32"/>
    <w:rsid w:val="1E3B5B2B"/>
    <w:rsid w:val="1E9242EB"/>
    <w:rsid w:val="1E9F255E"/>
    <w:rsid w:val="1EB458DE"/>
    <w:rsid w:val="1F2E5690"/>
    <w:rsid w:val="1F672F1C"/>
    <w:rsid w:val="1F7A6B27"/>
    <w:rsid w:val="1F8A4FBC"/>
    <w:rsid w:val="1F953961"/>
    <w:rsid w:val="203F173A"/>
    <w:rsid w:val="2040567B"/>
    <w:rsid w:val="205D447F"/>
    <w:rsid w:val="2076109D"/>
    <w:rsid w:val="20827A42"/>
    <w:rsid w:val="20AA62CB"/>
    <w:rsid w:val="20B63B8F"/>
    <w:rsid w:val="20D235FB"/>
    <w:rsid w:val="20DA5ACF"/>
    <w:rsid w:val="20FD531A"/>
    <w:rsid w:val="21134B3E"/>
    <w:rsid w:val="21584C46"/>
    <w:rsid w:val="2197751D"/>
    <w:rsid w:val="219A700D"/>
    <w:rsid w:val="21C70FDD"/>
    <w:rsid w:val="221E2B52"/>
    <w:rsid w:val="22250FCC"/>
    <w:rsid w:val="22305B79"/>
    <w:rsid w:val="22A5210D"/>
    <w:rsid w:val="23072480"/>
    <w:rsid w:val="233359F6"/>
    <w:rsid w:val="233B037C"/>
    <w:rsid w:val="23733FB9"/>
    <w:rsid w:val="23D36806"/>
    <w:rsid w:val="24D64800"/>
    <w:rsid w:val="250749B9"/>
    <w:rsid w:val="25180974"/>
    <w:rsid w:val="252E0198"/>
    <w:rsid w:val="253F23A5"/>
    <w:rsid w:val="2584600A"/>
    <w:rsid w:val="2593624D"/>
    <w:rsid w:val="25951FC5"/>
    <w:rsid w:val="26013AFE"/>
    <w:rsid w:val="262D66A1"/>
    <w:rsid w:val="26451C3D"/>
    <w:rsid w:val="267A11BB"/>
    <w:rsid w:val="26906C30"/>
    <w:rsid w:val="26B24DF9"/>
    <w:rsid w:val="27084A19"/>
    <w:rsid w:val="27247AA4"/>
    <w:rsid w:val="27271343"/>
    <w:rsid w:val="27343A60"/>
    <w:rsid w:val="275814FC"/>
    <w:rsid w:val="276E0D20"/>
    <w:rsid w:val="277F2FF5"/>
    <w:rsid w:val="27B81DE3"/>
    <w:rsid w:val="27CC3C98"/>
    <w:rsid w:val="27D631D2"/>
    <w:rsid w:val="27DBEDBD"/>
    <w:rsid w:val="28101DD7"/>
    <w:rsid w:val="282B4E63"/>
    <w:rsid w:val="283261F1"/>
    <w:rsid w:val="28706D19"/>
    <w:rsid w:val="287C56BE"/>
    <w:rsid w:val="289D6E86"/>
    <w:rsid w:val="28B430AA"/>
    <w:rsid w:val="28ED3EC6"/>
    <w:rsid w:val="291A13D0"/>
    <w:rsid w:val="2976035F"/>
    <w:rsid w:val="297B5976"/>
    <w:rsid w:val="297E7214"/>
    <w:rsid w:val="299F78B6"/>
    <w:rsid w:val="2A742AF1"/>
    <w:rsid w:val="2AAA4765"/>
    <w:rsid w:val="2AB70C30"/>
    <w:rsid w:val="2AB729DE"/>
    <w:rsid w:val="2AD76BDC"/>
    <w:rsid w:val="2B05199B"/>
    <w:rsid w:val="2B2871A5"/>
    <w:rsid w:val="2B34402E"/>
    <w:rsid w:val="2B367DA6"/>
    <w:rsid w:val="2B3C2EE3"/>
    <w:rsid w:val="2B51698E"/>
    <w:rsid w:val="2B8A26E2"/>
    <w:rsid w:val="2B964CE9"/>
    <w:rsid w:val="2B9B22FF"/>
    <w:rsid w:val="2B9B5E5B"/>
    <w:rsid w:val="2BAF1907"/>
    <w:rsid w:val="2BEC66B7"/>
    <w:rsid w:val="2C8C0643"/>
    <w:rsid w:val="2CB90C8F"/>
    <w:rsid w:val="2CC6515A"/>
    <w:rsid w:val="2D1E0AF2"/>
    <w:rsid w:val="2D216834"/>
    <w:rsid w:val="2D5E1836"/>
    <w:rsid w:val="2D766B80"/>
    <w:rsid w:val="2DA3549B"/>
    <w:rsid w:val="2DC773DC"/>
    <w:rsid w:val="2E262354"/>
    <w:rsid w:val="2E580034"/>
    <w:rsid w:val="2E725599"/>
    <w:rsid w:val="2E861045"/>
    <w:rsid w:val="2F0361F1"/>
    <w:rsid w:val="2F1702F6"/>
    <w:rsid w:val="2F45680A"/>
    <w:rsid w:val="2F5BA6C7"/>
    <w:rsid w:val="2F7016CC"/>
    <w:rsid w:val="2FA33530"/>
    <w:rsid w:val="2FD858D0"/>
    <w:rsid w:val="2FED29FE"/>
    <w:rsid w:val="30142680"/>
    <w:rsid w:val="30197C97"/>
    <w:rsid w:val="30950B56"/>
    <w:rsid w:val="309A0DD7"/>
    <w:rsid w:val="309C68FD"/>
    <w:rsid w:val="30A6152A"/>
    <w:rsid w:val="30A734F4"/>
    <w:rsid w:val="30B05F05"/>
    <w:rsid w:val="30F54260"/>
    <w:rsid w:val="310B5831"/>
    <w:rsid w:val="31216E03"/>
    <w:rsid w:val="3138414C"/>
    <w:rsid w:val="313C3C3D"/>
    <w:rsid w:val="3166471F"/>
    <w:rsid w:val="316E7B6E"/>
    <w:rsid w:val="31AA6DF8"/>
    <w:rsid w:val="31E247E4"/>
    <w:rsid w:val="324C7EAF"/>
    <w:rsid w:val="32544FB6"/>
    <w:rsid w:val="3267118D"/>
    <w:rsid w:val="33831326"/>
    <w:rsid w:val="33BF137E"/>
    <w:rsid w:val="33FE78CF"/>
    <w:rsid w:val="343D67B3"/>
    <w:rsid w:val="347D07F4"/>
    <w:rsid w:val="348A1163"/>
    <w:rsid w:val="34B306BA"/>
    <w:rsid w:val="34DA0BF7"/>
    <w:rsid w:val="34E72111"/>
    <w:rsid w:val="3502519D"/>
    <w:rsid w:val="355F614C"/>
    <w:rsid w:val="358931C8"/>
    <w:rsid w:val="359009FB"/>
    <w:rsid w:val="35B30245"/>
    <w:rsid w:val="35BE6949"/>
    <w:rsid w:val="35FE3BB6"/>
    <w:rsid w:val="362F5B1E"/>
    <w:rsid w:val="36341386"/>
    <w:rsid w:val="365D6B2F"/>
    <w:rsid w:val="367C2F50"/>
    <w:rsid w:val="367E6AA5"/>
    <w:rsid w:val="36F31241"/>
    <w:rsid w:val="371D1E1A"/>
    <w:rsid w:val="37335F00"/>
    <w:rsid w:val="37550D61"/>
    <w:rsid w:val="375A12C0"/>
    <w:rsid w:val="37CF2B42"/>
    <w:rsid w:val="37E312B6"/>
    <w:rsid w:val="382B67B9"/>
    <w:rsid w:val="387B329C"/>
    <w:rsid w:val="389868A8"/>
    <w:rsid w:val="38AC78FA"/>
    <w:rsid w:val="38B16CBE"/>
    <w:rsid w:val="38C34C43"/>
    <w:rsid w:val="390B0AC4"/>
    <w:rsid w:val="391468E1"/>
    <w:rsid w:val="39331DC9"/>
    <w:rsid w:val="399565E0"/>
    <w:rsid w:val="3A00614F"/>
    <w:rsid w:val="3A0948D8"/>
    <w:rsid w:val="3A267238"/>
    <w:rsid w:val="3A6C5593"/>
    <w:rsid w:val="3A6F5083"/>
    <w:rsid w:val="3A726921"/>
    <w:rsid w:val="3A744447"/>
    <w:rsid w:val="3A8D5509"/>
    <w:rsid w:val="3A992100"/>
    <w:rsid w:val="3AA50AA5"/>
    <w:rsid w:val="3AFF6407"/>
    <w:rsid w:val="3B255741"/>
    <w:rsid w:val="3B2C2F74"/>
    <w:rsid w:val="3B60677A"/>
    <w:rsid w:val="3B714E2B"/>
    <w:rsid w:val="3BB0325D"/>
    <w:rsid w:val="3BB645EB"/>
    <w:rsid w:val="3BD80A06"/>
    <w:rsid w:val="3BEB0739"/>
    <w:rsid w:val="3BF84C04"/>
    <w:rsid w:val="3C320116"/>
    <w:rsid w:val="3C461E13"/>
    <w:rsid w:val="3C666012"/>
    <w:rsid w:val="3C746980"/>
    <w:rsid w:val="3C8811BB"/>
    <w:rsid w:val="3CA1704A"/>
    <w:rsid w:val="3CF950D8"/>
    <w:rsid w:val="3CFE26EE"/>
    <w:rsid w:val="3D211F38"/>
    <w:rsid w:val="3D4A5933"/>
    <w:rsid w:val="3D635A26"/>
    <w:rsid w:val="3D65276D"/>
    <w:rsid w:val="3D803103"/>
    <w:rsid w:val="3D9372DA"/>
    <w:rsid w:val="3DF31B27"/>
    <w:rsid w:val="3DFA1107"/>
    <w:rsid w:val="3E5455EE"/>
    <w:rsid w:val="3E686071"/>
    <w:rsid w:val="3E6F61D0"/>
    <w:rsid w:val="3EAA48DB"/>
    <w:rsid w:val="3EF142B8"/>
    <w:rsid w:val="3F0A537A"/>
    <w:rsid w:val="3F1B7587"/>
    <w:rsid w:val="3F3643C1"/>
    <w:rsid w:val="3FB86B84"/>
    <w:rsid w:val="3FD57736"/>
    <w:rsid w:val="40384169"/>
    <w:rsid w:val="40786313"/>
    <w:rsid w:val="40CF23D7"/>
    <w:rsid w:val="40D774DE"/>
    <w:rsid w:val="40D8481E"/>
    <w:rsid w:val="40FE2CBD"/>
    <w:rsid w:val="418A09F4"/>
    <w:rsid w:val="418F600A"/>
    <w:rsid w:val="41A82C28"/>
    <w:rsid w:val="41A90E7A"/>
    <w:rsid w:val="41CC2DBB"/>
    <w:rsid w:val="420F2CA7"/>
    <w:rsid w:val="42156510"/>
    <w:rsid w:val="421D53C4"/>
    <w:rsid w:val="422624CB"/>
    <w:rsid w:val="42350960"/>
    <w:rsid w:val="425A02DC"/>
    <w:rsid w:val="42703746"/>
    <w:rsid w:val="42A33B1C"/>
    <w:rsid w:val="42A41642"/>
    <w:rsid w:val="42A6360C"/>
    <w:rsid w:val="42CB4E20"/>
    <w:rsid w:val="42CD2946"/>
    <w:rsid w:val="42F95C2A"/>
    <w:rsid w:val="430E45DF"/>
    <w:rsid w:val="433047CE"/>
    <w:rsid w:val="43370708"/>
    <w:rsid w:val="434C41B3"/>
    <w:rsid w:val="435E3EE6"/>
    <w:rsid w:val="43A97897"/>
    <w:rsid w:val="43B35FE0"/>
    <w:rsid w:val="44384737"/>
    <w:rsid w:val="44872FC9"/>
    <w:rsid w:val="44C164DB"/>
    <w:rsid w:val="44CE29A6"/>
    <w:rsid w:val="44F92119"/>
    <w:rsid w:val="45101210"/>
    <w:rsid w:val="45240818"/>
    <w:rsid w:val="45D15DB9"/>
    <w:rsid w:val="45D73ADC"/>
    <w:rsid w:val="45F97EF6"/>
    <w:rsid w:val="45FB2391"/>
    <w:rsid w:val="462F1B6A"/>
    <w:rsid w:val="464334F4"/>
    <w:rsid w:val="466870E9"/>
    <w:rsid w:val="46F030A7"/>
    <w:rsid w:val="471548BC"/>
    <w:rsid w:val="47347438"/>
    <w:rsid w:val="475A49C5"/>
    <w:rsid w:val="476E221E"/>
    <w:rsid w:val="47867568"/>
    <w:rsid w:val="478B1022"/>
    <w:rsid w:val="47B916EB"/>
    <w:rsid w:val="48221986"/>
    <w:rsid w:val="48315726"/>
    <w:rsid w:val="48627FD5"/>
    <w:rsid w:val="494B6CBB"/>
    <w:rsid w:val="499203D8"/>
    <w:rsid w:val="49CF3448"/>
    <w:rsid w:val="49F42EAF"/>
    <w:rsid w:val="4A173A8B"/>
    <w:rsid w:val="4A315EB1"/>
    <w:rsid w:val="4A551AA1"/>
    <w:rsid w:val="4A5D0A54"/>
    <w:rsid w:val="4A633B90"/>
    <w:rsid w:val="4A6E2C61"/>
    <w:rsid w:val="4A78588E"/>
    <w:rsid w:val="4AC9433B"/>
    <w:rsid w:val="4AE90539"/>
    <w:rsid w:val="4AEC002A"/>
    <w:rsid w:val="4AEC627C"/>
    <w:rsid w:val="4B0215FB"/>
    <w:rsid w:val="4B3519D1"/>
    <w:rsid w:val="4B496BA3"/>
    <w:rsid w:val="4BAB3A41"/>
    <w:rsid w:val="4BF03B4A"/>
    <w:rsid w:val="4BF4363A"/>
    <w:rsid w:val="4C96024D"/>
    <w:rsid w:val="4CB6269D"/>
    <w:rsid w:val="4CBD7ED0"/>
    <w:rsid w:val="4D7B7443"/>
    <w:rsid w:val="4DB841F3"/>
    <w:rsid w:val="4DC03F0D"/>
    <w:rsid w:val="4E151645"/>
    <w:rsid w:val="4E1B3100"/>
    <w:rsid w:val="4E1C6E78"/>
    <w:rsid w:val="4E217CBF"/>
    <w:rsid w:val="4E9B7D9D"/>
    <w:rsid w:val="4EC866B8"/>
    <w:rsid w:val="4F1348EA"/>
    <w:rsid w:val="4F29184C"/>
    <w:rsid w:val="4FDF1F0B"/>
    <w:rsid w:val="501A2F43"/>
    <w:rsid w:val="501E6ED7"/>
    <w:rsid w:val="50562289"/>
    <w:rsid w:val="51143E36"/>
    <w:rsid w:val="513E0EB3"/>
    <w:rsid w:val="51694182"/>
    <w:rsid w:val="51735001"/>
    <w:rsid w:val="518A40F8"/>
    <w:rsid w:val="51AC406F"/>
    <w:rsid w:val="51B20BCF"/>
    <w:rsid w:val="51BA49DE"/>
    <w:rsid w:val="51BF1FF4"/>
    <w:rsid w:val="51E67581"/>
    <w:rsid w:val="51EB2DE9"/>
    <w:rsid w:val="51ED4DB3"/>
    <w:rsid w:val="51F06651"/>
    <w:rsid w:val="52100AA2"/>
    <w:rsid w:val="52416EAD"/>
    <w:rsid w:val="52432C25"/>
    <w:rsid w:val="52466271"/>
    <w:rsid w:val="52903990"/>
    <w:rsid w:val="52C553E8"/>
    <w:rsid w:val="52CF44B9"/>
    <w:rsid w:val="53364538"/>
    <w:rsid w:val="537312E8"/>
    <w:rsid w:val="537D0ED0"/>
    <w:rsid w:val="538E6122"/>
    <w:rsid w:val="539B25ED"/>
    <w:rsid w:val="53B813F1"/>
    <w:rsid w:val="53C438F2"/>
    <w:rsid w:val="53FA37B7"/>
    <w:rsid w:val="54050AEC"/>
    <w:rsid w:val="542645AC"/>
    <w:rsid w:val="543C16DA"/>
    <w:rsid w:val="54880DC3"/>
    <w:rsid w:val="54D04518"/>
    <w:rsid w:val="54E56216"/>
    <w:rsid w:val="54EB1352"/>
    <w:rsid w:val="551E7032"/>
    <w:rsid w:val="553B5E36"/>
    <w:rsid w:val="55472A2C"/>
    <w:rsid w:val="559A7000"/>
    <w:rsid w:val="55AC288F"/>
    <w:rsid w:val="55B26BF3"/>
    <w:rsid w:val="55B300C2"/>
    <w:rsid w:val="55C220B3"/>
    <w:rsid w:val="55D63DB0"/>
    <w:rsid w:val="55E1302E"/>
    <w:rsid w:val="55FFC2BA"/>
    <w:rsid w:val="56270168"/>
    <w:rsid w:val="56301712"/>
    <w:rsid w:val="56334D5F"/>
    <w:rsid w:val="564B654C"/>
    <w:rsid w:val="57005DED"/>
    <w:rsid w:val="575C2093"/>
    <w:rsid w:val="577E16B8"/>
    <w:rsid w:val="57917F8F"/>
    <w:rsid w:val="57AC03CE"/>
    <w:rsid w:val="57B1418D"/>
    <w:rsid w:val="57BB14B0"/>
    <w:rsid w:val="57BF2D4E"/>
    <w:rsid w:val="57C2639A"/>
    <w:rsid w:val="57EF4CB5"/>
    <w:rsid w:val="57FF7625"/>
    <w:rsid w:val="584119B5"/>
    <w:rsid w:val="585F62DF"/>
    <w:rsid w:val="586E207E"/>
    <w:rsid w:val="587358E6"/>
    <w:rsid w:val="589934BD"/>
    <w:rsid w:val="589F4D9C"/>
    <w:rsid w:val="58B77EC9"/>
    <w:rsid w:val="591E3AA4"/>
    <w:rsid w:val="59233F27"/>
    <w:rsid w:val="59284923"/>
    <w:rsid w:val="596811C3"/>
    <w:rsid w:val="596F2552"/>
    <w:rsid w:val="597E2795"/>
    <w:rsid w:val="598C3104"/>
    <w:rsid w:val="5A0F163F"/>
    <w:rsid w:val="5A201A9E"/>
    <w:rsid w:val="5A241579"/>
    <w:rsid w:val="5A61633E"/>
    <w:rsid w:val="5A747DCC"/>
    <w:rsid w:val="5AE605F2"/>
    <w:rsid w:val="5AF80325"/>
    <w:rsid w:val="5B323837"/>
    <w:rsid w:val="5B345801"/>
    <w:rsid w:val="5B3E21DC"/>
    <w:rsid w:val="5B410F66"/>
    <w:rsid w:val="5B6F4A8B"/>
    <w:rsid w:val="5BA02E96"/>
    <w:rsid w:val="5C001B87"/>
    <w:rsid w:val="5C3830CF"/>
    <w:rsid w:val="5C9A1694"/>
    <w:rsid w:val="5CA00C74"/>
    <w:rsid w:val="5CC91F79"/>
    <w:rsid w:val="5CE46DB3"/>
    <w:rsid w:val="5D0D455B"/>
    <w:rsid w:val="5D373386"/>
    <w:rsid w:val="5D577585"/>
    <w:rsid w:val="5D663C6C"/>
    <w:rsid w:val="5D9C58DF"/>
    <w:rsid w:val="5DEC23C3"/>
    <w:rsid w:val="5E371164"/>
    <w:rsid w:val="5E563CE0"/>
    <w:rsid w:val="5E6A32E8"/>
    <w:rsid w:val="5E7D74BF"/>
    <w:rsid w:val="5EC62C14"/>
    <w:rsid w:val="5EFB03E4"/>
    <w:rsid w:val="5F0B4ACB"/>
    <w:rsid w:val="5F1576F7"/>
    <w:rsid w:val="5F926F9A"/>
    <w:rsid w:val="5FCB425A"/>
    <w:rsid w:val="5FE315A4"/>
    <w:rsid w:val="5FE777FD"/>
    <w:rsid w:val="5FEF7149"/>
    <w:rsid w:val="601E082E"/>
    <w:rsid w:val="609A3376"/>
    <w:rsid w:val="60C03693"/>
    <w:rsid w:val="60CF32AC"/>
    <w:rsid w:val="613F0A5C"/>
    <w:rsid w:val="61A46B11"/>
    <w:rsid w:val="61BF7DEE"/>
    <w:rsid w:val="62013F63"/>
    <w:rsid w:val="6283706E"/>
    <w:rsid w:val="62BA7814"/>
    <w:rsid w:val="63041F5D"/>
    <w:rsid w:val="63424833"/>
    <w:rsid w:val="63822E81"/>
    <w:rsid w:val="63B76FCF"/>
    <w:rsid w:val="64414AEB"/>
    <w:rsid w:val="64462101"/>
    <w:rsid w:val="646D1D84"/>
    <w:rsid w:val="64713622"/>
    <w:rsid w:val="6477050C"/>
    <w:rsid w:val="651D2E62"/>
    <w:rsid w:val="6558033E"/>
    <w:rsid w:val="6578453C"/>
    <w:rsid w:val="659A0956"/>
    <w:rsid w:val="65B25CA0"/>
    <w:rsid w:val="65F55B8D"/>
    <w:rsid w:val="661C0878"/>
    <w:rsid w:val="66346800"/>
    <w:rsid w:val="663C37BC"/>
    <w:rsid w:val="664D59C9"/>
    <w:rsid w:val="664E34EF"/>
    <w:rsid w:val="66580C43"/>
    <w:rsid w:val="665B01F1"/>
    <w:rsid w:val="66976C44"/>
    <w:rsid w:val="66B07D06"/>
    <w:rsid w:val="66F9345B"/>
    <w:rsid w:val="67430B7A"/>
    <w:rsid w:val="67DD4B2A"/>
    <w:rsid w:val="67F325A0"/>
    <w:rsid w:val="67F81964"/>
    <w:rsid w:val="67FE5FE3"/>
    <w:rsid w:val="686A0AB4"/>
    <w:rsid w:val="689E250C"/>
    <w:rsid w:val="68CA1553"/>
    <w:rsid w:val="68DB72BC"/>
    <w:rsid w:val="69112CDD"/>
    <w:rsid w:val="69205616"/>
    <w:rsid w:val="69A022B3"/>
    <w:rsid w:val="69AA4EE0"/>
    <w:rsid w:val="6A1D1B56"/>
    <w:rsid w:val="6A3A6264"/>
    <w:rsid w:val="6A4175F2"/>
    <w:rsid w:val="6A4B221F"/>
    <w:rsid w:val="6A94006A"/>
    <w:rsid w:val="6A971908"/>
    <w:rsid w:val="6A995680"/>
    <w:rsid w:val="6AB26975"/>
    <w:rsid w:val="6ACA3A8C"/>
    <w:rsid w:val="6AD94CA4"/>
    <w:rsid w:val="6B0D3978"/>
    <w:rsid w:val="6B43739A"/>
    <w:rsid w:val="6B621F16"/>
    <w:rsid w:val="6B6317EA"/>
    <w:rsid w:val="6B9145AA"/>
    <w:rsid w:val="6BA047ED"/>
    <w:rsid w:val="6BD050D2"/>
    <w:rsid w:val="6C2216A6"/>
    <w:rsid w:val="6C354899"/>
    <w:rsid w:val="6C5F1FB2"/>
    <w:rsid w:val="6CB00A5F"/>
    <w:rsid w:val="6CD75FEC"/>
    <w:rsid w:val="6CE40709"/>
    <w:rsid w:val="6D45564C"/>
    <w:rsid w:val="6D4D62AE"/>
    <w:rsid w:val="6D967C55"/>
    <w:rsid w:val="6DD10C8D"/>
    <w:rsid w:val="6E05302D"/>
    <w:rsid w:val="6E184B0E"/>
    <w:rsid w:val="6E315BD0"/>
    <w:rsid w:val="6E492F1A"/>
    <w:rsid w:val="6E7206C2"/>
    <w:rsid w:val="6E775CD9"/>
    <w:rsid w:val="6E906D9A"/>
    <w:rsid w:val="6E91041D"/>
    <w:rsid w:val="6E9E14B7"/>
    <w:rsid w:val="6EF54E4F"/>
    <w:rsid w:val="6F26325B"/>
    <w:rsid w:val="6F2D283B"/>
    <w:rsid w:val="6F4B4A6F"/>
    <w:rsid w:val="6F5B5AA7"/>
    <w:rsid w:val="6F6F4C02"/>
    <w:rsid w:val="6FB940CF"/>
    <w:rsid w:val="6FE253D4"/>
    <w:rsid w:val="70291255"/>
    <w:rsid w:val="70453BB5"/>
    <w:rsid w:val="70875F7B"/>
    <w:rsid w:val="70AB7EBB"/>
    <w:rsid w:val="70BA1EAD"/>
    <w:rsid w:val="70CB22DA"/>
    <w:rsid w:val="70FF5D80"/>
    <w:rsid w:val="7141437C"/>
    <w:rsid w:val="71810C1C"/>
    <w:rsid w:val="71AB7A47"/>
    <w:rsid w:val="71D13952"/>
    <w:rsid w:val="733DDA11"/>
    <w:rsid w:val="73610D05"/>
    <w:rsid w:val="73682094"/>
    <w:rsid w:val="73697BBA"/>
    <w:rsid w:val="73872127"/>
    <w:rsid w:val="73B21561"/>
    <w:rsid w:val="73FD7B70"/>
    <w:rsid w:val="743B1556"/>
    <w:rsid w:val="7443040B"/>
    <w:rsid w:val="74620891"/>
    <w:rsid w:val="746F7452"/>
    <w:rsid w:val="747607E0"/>
    <w:rsid w:val="748A428C"/>
    <w:rsid w:val="749E5641"/>
    <w:rsid w:val="74A70ABF"/>
    <w:rsid w:val="74A72748"/>
    <w:rsid w:val="74DF1EE2"/>
    <w:rsid w:val="75137DDD"/>
    <w:rsid w:val="755328D0"/>
    <w:rsid w:val="755A5A0C"/>
    <w:rsid w:val="75952E36"/>
    <w:rsid w:val="75BB2380"/>
    <w:rsid w:val="75E579CC"/>
    <w:rsid w:val="75F586B9"/>
    <w:rsid w:val="75F61BD9"/>
    <w:rsid w:val="766F7295"/>
    <w:rsid w:val="769A6A08"/>
    <w:rsid w:val="769E5BF6"/>
    <w:rsid w:val="76BF021D"/>
    <w:rsid w:val="76F51E90"/>
    <w:rsid w:val="771217EB"/>
    <w:rsid w:val="772E0EFE"/>
    <w:rsid w:val="77336515"/>
    <w:rsid w:val="773D3837"/>
    <w:rsid w:val="77482A1F"/>
    <w:rsid w:val="77512E3F"/>
    <w:rsid w:val="776C2CD6"/>
    <w:rsid w:val="7784300D"/>
    <w:rsid w:val="778E5E41"/>
    <w:rsid w:val="77959D24"/>
    <w:rsid w:val="77974CF6"/>
    <w:rsid w:val="77996CC0"/>
    <w:rsid w:val="77BF424C"/>
    <w:rsid w:val="77CF345E"/>
    <w:rsid w:val="77D870BC"/>
    <w:rsid w:val="780B56E4"/>
    <w:rsid w:val="78306EF8"/>
    <w:rsid w:val="783E1615"/>
    <w:rsid w:val="78C0202A"/>
    <w:rsid w:val="790740FD"/>
    <w:rsid w:val="796C5A9B"/>
    <w:rsid w:val="79725A1A"/>
    <w:rsid w:val="798412AA"/>
    <w:rsid w:val="799F4335"/>
    <w:rsid w:val="79A656C4"/>
    <w:rsid w:val="79B0209F"/>
    <w:rsid w:val="79D51B05"/>
    <w:rsid w:val="7A1563A6"/>
    <w:rsid w:val="7A6028F5"/>
    <w:rsid w:val="7A635363"/>
    <w:rsid w:val="7AF2EBE1"/>
    <w:rsid w:val="7B2E5971"/>
    <w:rsid w:val="7B7308D3"/>
    <w:rsid w:val="7B841A35"/>
    <w:rsid w:val="7B8F3F36"/>
    <w:rsid w:val="7B9559F0"/>
    <w:rsid w:val="7BDC361F"/>
    <w:rsid w:val="7C0C21E9"/>
    <w:rsid w:val="7C376AA7"/>
    <w:rsid w:val="7C39281F"/>
    <w:rsid w:val="7CB974BC"/>
    <w:rsid w:val="7CE502B1"/>
    <w:rsid w:val="7CEE71B5"/>
    <w:rsid w:val="7D450D50"/>
    <w:rsid w:val="7D7358BD"/>
    <w:rsid w:val="7D757B13"/>
    <w:rsid w:val="7DA243F4"/>
    <w:rsid w:val="7DAA32A9"/>
    <w:rsid w:val="7E1F5A45"/>
    <w:rsid w:val="7E2D63B4"/>
    <w:rsid w:val="7E7FEC51"/>
    <w:rsid w:val="7E8D6E52"/>
    <w:rsid w:val="7E955D07"/>
    <w:rsid w:val="7EA10942"/>
    <w:rsid w:val="7ECD54A1"/>
    <w:rsid w:val="7EEB928C"/>
    <w:rsid w:val="7EF0AE9C"/>
    <w:rsid w:val="7F0A3FFF"/>
    <w:rsid w:val="7F0FAB12"/>
    <w:rsid w:val="7F1F07DC"/>
    <w:rsid w:val="7F431E06"/>
    <w:rsid w:val="7F7D58EC"/>
    <w:rsid w:val="7F8F2756"/>
    <w:rsid w:val="7F985AAF"/>
    <w:rsid w:val="7FCC5758"/>
    <w:rsid w:val="7FDF85CF"/>
    <w:rsid w:val="7FF72667"/>
    <w:rsid w:val="7FF828AF"/>
    <w:rsid w:val="9D4B5CFF"/>
    <w:rsid w:val="A3BAF1C4"/>
    <w:rsid w:val="B96AC29F"/>
    <w:rsid w:val="BA7B23C6"/>
    <w:rsid w:val="DEE4CA5C"/>
    <w:rsid w:val="EFFD3F4E"/>
    <w:rsid w:val="F3FB9500"/>
    <w:rsid w:val="F5AF5510"/>
    <w:rsid w:val="F5B70DBC"/>
    <w:rsid w:val="F5B7DDF0"/>
    <w:rsid w:val="F5CB9BF2"/>
    <w:rsid w:val="FCFFE695"/>
    <w:rsid w:val="FDF72933"/>
    <w:rsid w:val="FDF7440B"/>
    <w:rsid w:val="FE734873"/>
    <w:rsid w:val="FF0F6677"/>
    <w:rsid w:val="FFCDD351"/>
    <w:rsid w:val="FFF7EADE"/>
    <w:rsid w:val="FFFD62A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 w:cs="Times New Roman"/>
      <w:kern w:val="2"/>
      <w:sz w:val="32"/>
      <w:szCs w:val="32"/>
      <w:lang w:val="en-US" w:eastAsia="zh-CN" w:bidi="ar-SA"/>
    </w:rPr>
  </w:style>
  <w:style w:type="paragraph" w:styleId="2">
    <w:name w:val="heading 2"/>
    <w:basedOn w:val="1"/>
    <w:next w:val="1"/>
    <w:unhideWhenUsed/>
    <w:qFormat/>
    <w:uiPriority w:val="0"/>
    <w:pPr>
      <w:keepNext/>
      <w:keepLines/>
      <w:spacing w:before="260" w:after="260" w:line="416" w:lineRule="auto"/>
      <w:outlineLvl w:val="1"/>
    </w:pPr>
    <w:rPr>
      <w:rFonts w:ascii="Arial" w:hAnsi="Arial" w:eastAsia="黑体"/>
      <w:b/>
      <w:bCs/>
    </w:rPr>
  </w:style>
  <w:style w:type="paragraph" w:styleId="3">
    <w:name w:val="heading 3"/>
    <w:basedOn w:val="1"/>
    <w:next w:val="1"/>
    <w:link w:val="20"/>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4"/>
    <w:qFormat/>
    <w:uiPriority w:val="0"/>
    <w:pPr>
      <w:jc w:val="left"/>
    </w:pPr>
  </w:style>
  <w:style w:type="paragraph" w:styleId="5">
    <w:name w:val="Body Text"/>
    <w:basedOn w:val="1"/>
    <w:qFormat/>
    <w:uiPriority w:val="0"/>
    <w:pPr>
      <w:spacing w:line="480" w:lineRule="exact"/>
    </w:pPr>
    <w:rPr>
      <w:rFonts w:eastAsia="仿宋_GB2312"/>
    </w:rPr>
  </w:style>
  <w:style w:type="paragraph" w:styleId="6">
    <w:name w:val="Balloon Text"/>
    <w:basedOn w:val="1"/>
    <w:link w:val="22"/>
    <w:qFormat/>
    <w:uiPriority w:val="0"/>
    <w:rPr>
      <w:sz w:val="18"/>
      <w:szCs w:val="18"/>
    </w:rPr>
  </w:style>
  <w:style w:type="paragraph" w:styleId="7">
    <w:name w:val="footer"/>
    <w:basedOn w:val="1"/>
    <w:unhideWhenUsed/>
    <w:qFormat/>
    <w:uiPriority w:val="0"/>
    <w:pPr>
      <w:tabs>
        <w:tab w:val="center" w:pos="4153"/>
        <w:tab w:val="right" w:pos="8306"/>
      </w:tabs>
      <w:snapToGrid w:val="0"/>
      <w:jc w:val="left"/>
    </w:pPr>
    <w:rPr>
      <w:rFonts w:eastAsia="Times New Roman"/>
      <w:kern w:val="0"/>
      <w:sz w:val="18"/>
      <w:szCs w:val="18"/>
    </w:rPr>
  </w:style>
  <w:style w:type="paragraph" w:styleId="8">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0">
    <w:name w:val="annotation subject"/>
    <w:basedOn w:val="4"/>
    <w:next w:val="4"/>
    <w:link w:val="25"/>
    <w:qFormat/>
    <w:uiPriority w:val="0"/>
    <w:rPr>
      <w:b/>
      <w:bCs/>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bCs/>
    </w:rPr>
  </w:style>
  <w:style w:type="character" w:styleId="15">
    <w:name w:val="page number"/>
    <w:basedOn w:val="13"/>
    <w:qFormat/>
    <w:uiPriority w:val="0"/>
  </w:style>
  <w:style w:type="character" w:styleId="16">
    <w:name w:val="Hyperlink"/>
    <w:basedOn w:val="13"/>
    <w:unhideWhenUsed/>
    <w:qFormat/>
    <w:uiPriority w:val="99"/>
    <w:rPr>
      <w:color w:val="0000FF"/>
      <w:u w:val="single"/>
    </w:rPr>
  </w:style>
  <w:style w:type="character" w:styleId="17">
    <w:name w:val="annotation reference"/>
    <w:basedOn w:val="13"/>
    <w:qFormat/>
    <w:uiPriority w:val="0"/>
    <w:rPr>
      <w:sz w:val="21"/>
      <w:szCs w:val="21"/>
    </w:rPr>
  </w:style>
  <w:style w:type="character" w:customStyle="1" w:styleId="18">
    <w:name w:val="页眉 字符"/>
    <w:basedOn w:val="13"/>
    <w:link w:val="8"/>
    <w:qFormat/>
    <w:uiPriority w:val="0"/>
    <w:rPr>
      <w:rFonts w:eastAsia="仿宋"/>
      <w:kern w:val="2"/>
      <w:sz w:val="18"/>
      <w:szCs w:val="18"/>
    </w:rPr>
  </w:style>
  <w:style w:type="paragraph" w:styleId="19">
    <w:name w:val="List Paragraph"/>
    <w:basedOn w:val="1"/>
    <w:unhideWhenUsed/>
    <w:qFormat/>
    <w:uiPriority w:val="34"/>
    <w:pPr>
      <w:ind w:firstLine="420" w:firstLineChars="200"/>
    </w:pPr>
  </w:style>
  <w:style w:type="character" w:customStyle="1" w:styleId="20">
    <w:name w:val="标题 3 字符"/>
    <w:basedOn w:val="13"/>
    <w:link w:val="3"/>
    <w:qFormat/>
    <w:uiPriority w:val="9"/>
    <w:rPr>
      <w:rFonts w:ascii="宋体" w:hAnsi="宋体" w:cs="宋体"/>
      <w:b/>
      <w:bCs/>
      <w:sz w:val="27"/>
      <w:szCs w:val="27"/>
    </w:rPr>
  </w:style>
  <w:style w:type="paragraph" w:customStyle="1" w:styleId="21">
    <w:name w:val="列出段落3"/>
    <w:basedOn w:val="1"/>
    <w:qFormat/>
    <w:uiPriority w:val="99"/>
    <w:pPr>
      <w:ind w:firstLine="420" w:firstLineChars="200"/>
    </w:pPr>
    <w:rPr>
      <w:rFonts w:cs="Calibri"/>
      <w:szCs w:val="21"/>
    </w:rPr>
  </w:style>
  <w:style w:type="character" w:customStyle="1" w:styleId="22">
    <w:name w:val="批注框文本 字符"/>
    <w:basedOn w:val="13"/>
    <w:link w:val="6"/>
    <w:qFormat/>
    <w:uiPriority w:val="0"/>
    <w:rPr>
      <w:rFonts w:eastAsia="仿宋"/>
      <w:kern w:val="2"/>
      <w:sz w:val="18"/>
      <w:szCs w:val="18"/>
    </w:rPr>
  </w:style>
  <w:style w:type="paragraph" w:styleId="23">
    <w:name w:val="No Spacing"/>
    <w:qFormat/>
    <w:uiPriority w:val="99"/>
    <w:pPr>
      <w:widowControl w:val="0"/>
      <w:jc w:val="both"/>
    </w:pPr>
    <w:rPr>
      <w:rFonts w:ascii="Calibri" w:hAnsi="Calibri" w:eastAsia="宋体" w:cs="Calibri"/>
      <w:kern w:val="2"/>
      <w:sz w:val="21"/>
      <w:szCs w:val="21"/>
      <w:lang w:val="en-US" w:eastAsia="zh-CN" w:bidi="ar-SA"/>
    </w:rPr>
  </w:style>
  <w:style w:type="character" w:customStyle="1" w:styleId="24">
    <w:name w:val="批注文字 字符"/>
    <w:basedOn w:val="13"/>
    <w:link w:val="4"/>
    <w:qFormat/>
    <w:uiPriority w:val="0"/>
    <w:rPr>
      <w:rFonts w:eastAsia="仿宋"/>
      <w:kern w:val="2"/>
      <w:sz w:val="32"/>
      <w:szCs w:val="32"/>
    </w:rPr>
  </w:style>
  <w:style w:type="character" w:customStyle="1" w:styleId="25">
    <w:name w:val="批注主题 字符"/>
    <w:basedOn w:val="24"/>
    <w:link w:val="10"/>
    <w:qFormat/>
    <w:uiPriority w:val="0"/>
    <w:rPr>
      <w:rFonts w:eastAsia="仿宋"/>
      <w:b/>
      <w:bCs/>
      <w:kern w:val="2"/>
      <w:sz w:val="32"/>
      <w:szCs w:val="32"/>
    </w:rPr>
  </w:style>
  <w:style w:type="paragraph" w:customStyle="1" w:styleId="26">
    <w:name w:val="列出段落1"/>
    <w:basedOn w:val="1"/>
    <w:qFormat/>
    <w:uiPriority w:val="99"/>
    <w:pPr>
      <w:widowControl/>
      <w:ind w:firstLine="420" w:firstLineChars="200"/>
      <w:jc w:val="left"/>
    </w:pPr>
    <w:rPr>
      <w:rFonts w:ascii="宋体" w:hAnsi="宋体" w:eastAsia="宋体" w:cs="宋体"/>
      <w:kern w:val="0"/>
      <w:sz w:val="24"/>
      <w:szCs w:val="24"/>
    </w:rPr>
  </w:style>
  <w:style w:type="paragraph" w:customStyle="1" w:styleId="27">
    <w:name w:val="Char Char1 Char Char Char Char Char Char"/>
    <w:basedOn w:val="1"/>
    <w:qFormat/>
    <w:uiPriority w:val="0"/>
    <w:pPr>
      <w:widowControl/>
      <w:spacing w:after="160" w:line="240" w:lineRule="exact"/>
      <w:jc w:val="left"/>
    </w:pPr>
    <w:rPr>
      <w:rFonts w:eastAsia="宋体"/>
      <w:sz w:val="21"/>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18</Pages>
  <Words>1253</Words>
  <Characters>7146</Characters>
  <Lines>59</Lines>
  <Paragraphs>16</Paragraphs>
  <TotalTime>104</TotalTime>
  <ScaleCrop>false</ScaleCrop>
  <LinksUpToDate>false</LinksUpToDate>
  <CharactersWithSpaces>8383</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2021-12-15T22:44:00Z</dcterms:created>
  <dc:creator>Administrator</dc:creator>
  <cp:lastModifiedBy>WPS_1467855688</cp:lastModifiedBy>
  <cp:lastPrinted>2022-03-25T08:55:00Z</cp:lastPrinted>
  <dcterms:modified xsi:type="dcterms:W3CDTF">2022-03-30T06:24:45Z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34A143B2756D4B0D9FACDD61E4C549E5</vt:lpwstr>
  </property>
  <property fmtid="{D5CDD505-2E9C-101B-9397-08002B2CF9AE}" pid="4" name="KSOSaveFontToCloudKey">
    <vt:lpwstr>228191226_embed</vt:lpwstr>
  </property>
</Properties>
</file>